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E69B" w14:textId="77777777" w:rsidR="007C1D5E" w:rsidRDefault="007C1D5E" w:rsidP="00055C14">
      <w:pPr>
        <w:ind w:left="1440" w:right="1440"/>
        <w:rPr>
          <w:rFonts w:ascii="Arial" w:hAnsi="Arial" w:cs="Arial"/>
          <w:color w:val="555759"/>
        </w:rPr>
      </w:pPr>
    </w:p>
    <w:p w14:paraId="6E7B2AAA" w14:textId="77777777" w:rsidR="007C1D5E" w:rsidRDefault="007C1D5E" w:rsidP="00055C14">
      <w:pPr>
        <w:ind w:left="1440" w:right="1440"/>
        <w:rPr>
          <w:rFonts w:ascii="Arial" w:hAnsi="Arial" w:cs="Arial"/>
          <w:color w:val="555759"/>
        </w:rPr>
      </w:pPr>
    </w:p>
    <w:p w14:paraId="73E2DFDF" w14:textId="101FDB40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  <w:r>
        <w:rPr>
          <w:rFonts w:ascii="Arial" w:hAnsi="Arial" w:cs="Arial"/>
          <w:color w:val="555759"/>
        </w:rPr>
        <w:t xml:space="preserve">In the past three years the COVID pandemic dramatized just how crucial our industry is to the nation’s health, </w:t>
      </w:r>
      <w:proofErr w:type="gramStart"/>
      <w:r>
        <w:rPr>
          <w:rFonts w:ascii="Arial" w:hAnsi="Arial" w:cs="Arial"/>
          <w:color w:val="555759"/>
        </w:rPr>
        <w:t>economy</w:t>
      </w:r>
      <w:proofErr w:type="gramEnd"/>
      <w:r>
        <w:rPr>
          <w:rFonts w:ascii="Arial" w:hAnsi="Arial" w:cs="Arial"/>
          <w:color w:val="555759"/>
        </w:rPr>
        <w:t xml:space="preserve"> and American productivity. But on Capitol Hill, and across the country, we have been used as a political football. Just last year a bill was signed into law that will delay or deny future cures by allowing government price fixing which will result in fewer investments. </w:t>
      </w:r>
      <w:r>
        <w:rPr>
          <w:rFonts w:ascii="Arial" w:hAnsi="Arial" w:cs="Arial"/>
          <w:color w:val="555759"/>
        </w:rPr>
        <w:br/>
      </w:r>
      <w:r>
        <w:rPr>
          <w:rFonts w:ascii="Arial" w:hAnsi="Arial" w:cs="Arial"/>
          <w:color w:val="555759"/>
        </w:rPr>
        <w:br/>
      </w:r>
      <w:r w:rsidRPr="007466A7">
        <w:rPr>
          <w:rFonts w:ascii="Arial" w:hAnsi="Arial" w:cs="Arial"/>
          <w:b/>
          <w:bCs/>
          <w:i/>
          <w:iCs/>
          <w:color w:val="555759"/>
        </w:rPr>
        <w:t>[COMPANY]</w:t>
      </w:r>
      <w:r>
        <w:rPr>
          <w:rFonts w:ascii="Arial" w:hAnsi="Arial" w:cs="Arial"/>
          <w:color w:val="555759"/>
        </w:rPr>
        <w:t xml:space="preserve"> is a proud member of the Biotechnology Innovation Organization (BIO)—and many members of our team rely on </w:t>
      </w:r>
      <w:hyperlink r:id="rId8" w:history="1">
        <w:r>
          <w:rPr>
            <w:rStyle w:val="Hyperlink"/>
            <w:rFonts w:ascii="Arial" w:hAnsi="Arial" w:cs="Arial"/>
          </w:rPr>
          <w:t>Good Day BIO</w:t>
        </w:r>
      </w:hyperlink>
      <w:r>
        <w:rPr>
          <w:rFonts w:ascii="Arial" w:hAnsi="Arial" w:cs="Arial"/>
          <w:color w:val="555759"/>
        </w:rPr>
        <w:t>, BIO’s daily newsletter that takes no more than 3 minutes to scan every morning with the day’s top news and why it matters to our industry.</w:t>
      </w:r>
    </w:p>
    <w:p w14:paraId="61B363A6" w14:textId="77777777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</w:p>
    <w:p w14:paraId="3A02B80A" w14:textId="153D70C1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  <w:r>
        <w:rPr>
          <w:rFonts w:ascii="Arial" w:hAnsi="Arial" w:cs="Arial"/>
          <w:color w:val="555759"/>
        </w:rPr>
        <w:t xml:space="preserve">So, today, we’re encouraging all of you to sign up to receive Good Day BIO in your inbox each morning and give us </w:t>
      </w:r>
      <w:r w:rsidR="007C1D5E">
        <w:rPr>
          <w:rFonts w:ascii="Arial" w:hAnsi="Arial" w:cs="Arial"/>
          <w:color w:val="555759"/>
        </w:rPr>
        <w:t>5</w:t>
      </w:r>
      <w:r>
        <w:rPr>
          <w:rFonts w:ascii="Arial" w:hAnsi="Arial" w:cs="Arial"/>
          <w:color w:val="555759"/>
        </w:rPr>
        <w:t xml:space="preserve"> minutes each day to keep up to date and be alerted to when you can take action and make a difference —</w:t>
      </w:r>
      <w:r w:rsidR="007C1D5E">
        <w:rPr>
          <w:rFonts w:ascii="Arial" w:hAnsi="Arial" w:cs="Arial"/>
          <w:color w:val="555759"/>
        </w:rPr>
        <w:t xml:space="preserve"> </w:t>
      </w:r>
      <w:hyperlink r:id="rId9" w:history="1">
        <w:r w:rsidRPr="007C1D5E">
          <w:rPr>
            <w:rStyle w:val="Hyperlink"/>
            <w:rFonts w:ascii="Arial" w:hAnsi="Arial" w:cs="Arial"/>
          </w:rPr>
          <w:t xml:space="preserve">click here to </w:t>
        </w:r>
        <w:r w:rsidR="007C1D5E" w:rsidRPr="007C1D5E">
          <w:rPr>
            <w:rStyle w:val="Hyperlink"/>
            <w:rFonts w:ascii="Arial" w:hAnsi="Arial" w:cs="Arial"/>
          </w:rPr>
          <w:t>subscribe</w:t>
        </w:r>
        <w:r w:rsidRPr="007C1D5E">
          <w:rPr>
            <w:rStyle w:val="Hyperlink"/>
            <w:rFonts w:ascii="Arial" w:hAnsi="Arial" w:cs="Arial"/>
          </w:rPr>
          <w:t xml:space="preserve"> now</w:t>
        </w:r>
      </w:hyperlink>
      <w:r w:rsidR="007C1D5E">
        <w:rPr>
          <w:rFonts w:ascii="Arial" w:hAnsi="Arial" w:cs="Arial"/>
          <w:color w:val="555759"/>
        </w:rPr>
        <w:t xml:space="preserve"> </w:t>
      </w:r>
      <w:r>
        <w:rPr>
          <w:rFonts w:ascii="Arial" w:hAnsi="Arial" w:cs="Arial"/>
          <w:color w:val="555759"/>
        </w:rPr>
        <w:t>(It’s free!)</w:t>
      </w:r>
      <w:r w:rsidR="007C1D5E">
        <w:rPr>
          <w:rFonts w:ascii="Arial" w:hAnsi="Arial" w:cs="Arial"/>
          <w:color w:val="555759"/>
        </w:rPr>
        <w:t>.</w:t>
      </w:r>
    </w:p>
    <w:p w14:paraId="155B1E38" w14:textId="77777777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</w:p>
    <w:p w14:paraId="63A301DD" w14:textId="77777777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  <w:r>
        <w:rPr>
          <w:rFonts w:ascii="Arial" w:hAnsi="Arial" w:cs="Arial"/>
          <w:color w:val="555759"/>
        </w:rPr>
        <w:t>Here’s what you’ll get:</w:t>
      </w:r>
    </w:p>
    <w:p w14:paraId="7F8B6BF9" w14:textId="04D56285" w:rsidR="00055C14" w:rsidRDefault="00055C14" w:rsidP="00055C14">
      <w:pPr>
        <w:pStyle w:val="ListParagraph"/>
        <w:numPr>
          <w:ilvl w:val="0"/>
          <w:numId w:val="1"/>
        </w:numPr>
        <w:ind w:right="1440"/>
        <w:rPr>
          <w:rFonts w:ascii="Arial" w:eastAsia="Times New Roman" w:hAnsi="Arial" w:cs="Arial"/>
          <w:color w:val="555759"/>
          <w:sz w:val="22"/>
          <w:szCs w:val="22"/>
        </w:rPr>
      </w:pPr>
      <w:r>
        <w:rPr>
          <w:rFonts w:ascii="Arial" w:eastAsia="Times New Roman" w:hAnsi="Arial" w:cs="Arial"/>
          <w:color w:val="555759"/>
          <w:sz w:val="22"/>
          <w:szCs w:val="22"/>
        </w:rPr>
        <w:t xml:space="preserve">The day’s top stories across health and pharmaceuticals, </w:t>
      </w:r>
      <w:proofErr w:type="gramStart"/>
      <w:r>
        <w:rPr>
          <w:rFonts w:ascii="Arial" w:eastAsia="Times New Roman" w:hAnsi="Arial" w:cs="Arial"/>
          <w:color w:val="555759"/>
          <w:sz w:val="22"/>
          <w:szCs w:val="22"/>
        </w:rPr>
        <w:t>agriculture</w:t>
      </w:r>
      <w:proofErr w:type="gramEnd"/>
      <w:r>
        <w:rPr>
          <w:rFonts w:ascii="Arial" w:eastAsia="Times New Roman" w:hAnsi="Arial" w:cs="Arial"/>
          <w:color w:val="555759"/>
          <w:sz w:val="22"/>
          <w:szCs w:val="22"/>
        </w:rPr>
        <w:t xml:space="preserve"> and environment, biomanufacturing and the bioeconomy, and federal, state, and international policy—in just 1,000 words (</w:t>
      </w:r>
      <w:r w:rsidR="007C1D5E">
        <w:rPr>
          <w:rFonts w:ascii="Arial" w:eastAsia="Times New Roman" w:hAnsi="Arial" w:cs="Arial"/>
          <w:color w:val="555759"/>
          <w:sz w:val="22"/>
          <w:szCs w:val="22"/>
        </w:rPr>
        <w:t>five</w:t>
      </w:r>
      <w:r w:rsidR="00BC2CD9">
        <w:rPr>
          <w:rFonts w:ascii="Arial" w:eastAsia="Times New Roman" w:hAnsi="Arial" w:cs="Arial"/>
          <w:color w:val="555759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555759"/>
          <w:sz w:val="22"/>
          <w:szCs w:val="22"/>
        </w:rPr>
        <w:t>minutes or less).</w:t>
      </w:r>
    </w:p>
    <w:p w14:paraId="22BA36DB" w14:textId="77777777" w:rsidR="00055C14" w:rsidRDefault="00055C14" w:rsidP="00055C14">
      <w:pPr>
        <w:pStyle w:val="ListParagraph"/>
        <w:numPr>
          <w:ilvl w:val="0"/>
          <w:numId w:val="1"/>
        </w:numPr>
        <w:ind w:right="1440"/>
        <w:rPr>
          <w:rFonts w:ascii="Arial" w:eastAsia="Times New Roman" w:hAnsi="Arial" w:cs="Arial"/>
          <w:color w:val="555759"/>
          <w:sz w:val="22"/>
          <w:szCs w:val="22"/>
        </w:rPr>
      </w:pPr>
      <w:r>
        <w:rPr>
          <w:rFonts w:ascii="Arial" w:eastAsia="Times New Roman" w:hAnsi="Arial" w:cs="Arial"/>
          <w:color w:val="555759"/>
          <w:sz w:val="22"/>
          <w:szCs w:val="22"/>
        </w:rPr>
        <w:t>BIO’s take on breaking news and must-read stories from around the world—with simple ways to explain our industry to family and friends.</w:t>
      </w:r>
    </w:p>
    <w:p w14:paraId="5CD72BB9" w14:textId="77777777" w:rsidR="00055C14" w:rsidRDefault="00055C14" w:rsidP="00055C14">
      <w:pPr>
        <w:pStyle w:val="ListParagraph"/>
        <w:numPr>
          <w:ilvl w:val="0"/>
          <w:numId w:val="1"/>
        </w:numPr>
        <w:ind w:right="1440"/>
        <w:rPr>
          <w:rFonts w:ascii="Arial" w:eastAsia="Times New Roman" w:hAnsi="Arial" w:cs="Arial"/>
          <w:color w:val="555759"/>
          <w:sz w:val="22"/>
          <w:szCs w:val="22"/>
        </w:rPr>
      </w:pPr>
      <w:r>
        <w:rPr>
          <w:rFonts w:ascii="Arial" w:eastAsia="Times New Roman" w:hAnsi="Arial" w:cs="Arial"/>
          <w:color w:val="555759"/>
          <w:sz w:val="22"/>
          <w:szCs w:val="22"/>
        </w:rPr>
        <w:t>Exclusive reporting about stories no one else is covering and trustworthy thought leadership you’ll want to share.</w:t>
      </w:r>
    </w:p>
    <w:p w14:paraId="45B552F1" w14:textId="77777777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</w:p>
    <w:p w14:paraId="583BAF42" w14:textId="3A4529F1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  <w:r>
        <w:rPr>
          <w:rFonts w:ascii="Arial" w:hAnsi="Arial" w:cs="Arial"/>
          <w:color w:val="555759"/>
        </w:rPr>
        <w:t xml:space="preserve">As we gear up for activity this fall on a number of priority issues like </w:t>
      </w:r>
      <w:hyperlink r:id="rId10" w:history="1">
        <w:r>
          <w:rPr>
            <w:rStyle w:val="Hyperlink"/>
            <w:rFonts w:ascii="Arial" w:hAnsi="Arial" w:cs="Arial"/>
          </w:rPr>
          <w:t>PBM</w:t>
        </w:r>
      </w:hyperlink>
      <w:r>
        <w:rPr>
          <w:rFonts w:ascii="Arial" w:hAnsi="Arial" w:cs="Arial"/>
          <w:color w:val="555759"/>
        </w:rPr>
        <w:t xml:space="preserve"> Reform and reauthorization of </w:t>
      </w:r>
      <w:hyperlink r:id="rId11" w:history="1">
        <w:r>
          <w:rPr>
            <w:rStyle w:val="Hyperlink"/>
            <w:rFonts w:ascii="Arial" w:hAnsi="Arial" w:cs="Arial"/>
          </w:rPr>
          <w:t>the Pandemic All-Hazards Preparedness Act (PAHPA)</w:t>
        </w:r>
      </w:hyperlink>
      <w:r>
        <w:rPr>
          <w:rFonts w:ascii="Arial" w:hAnsi="Arial" w:cs="Arial"/>
          <w:color w:val="555759"/>
        </w:rPr>
        <w:t xml:space="preserve">, it’s more important than ever for the biotech community to get the true story and insights on industry public policy as easily, quickly and efficiently as possible. Good </w:t>
      </w:r>
      <w:proofErr w:type="gramStart"/>
      <w:r>
        <w:rPr>
          <w:rFonts w:ascii="Arial" w:hAnsi="Arial" w:cs="Arial"/>
          <w:color w:val="555759"/>
        </w:rPr>
        <w:t>Day</w:t>
      </w:r>
      <w:proofErr w:type="gramEnd"/>
      <w:r>
        <w:rPr>
          <w:rFonts w:ascii="Arial" w:hAnsi="Arial" w:cs="Arial"/>
          <w:color w:val="555759"/>
        </w:rPr>
        <w:t xml:space="preserve"> BIO can help.</w:t>
      </w:r>
    </w:p>
    <w:p w14:paraId="04BF4A4D" w14:textId="77777777" w:rsidR="00055C14" w:rsidRDefault="00055C14" w:rsidP="00055C14">
      <w:pPr>
        <w:ind w:left="1440" w:right="1440"/>
        <w:rPr>
          <w:rFonts w:ascii="Arial" w:hAnsi="Arial" w:cs="Arial"/>
          <w:color w:val="555759"/>
        </w:rPr>
      </w:pPr>
    </w:p>
    <w:p w14:paraId="39921EDA" w14:textId="665825BC" w:rsidR="00055C14" w:rsidRDefault="007C1D5E" w:rsidP="00055C14">
      <w:pPr>
        <w:ind w:left="1440" w:right="1440"/>
        <w:rPr>
          <w:rFonts w:ascii="Arial" w:hAnsi="Arial" w:cs="Arial"/>
          <w:color w:val="555759"/>
        </w:rPr>
      </w:pPr>
      <w:hyperlink r:id="rId12" w:history="1">
        <w:r w:rsidR="00055C14" w:rsidRPr="007C1D5E">
          <w:rPr>
            <w:rStyle w:val="Hyperlink"/>
            <w:rFonts w:ascii="Arial" w:hAnsi="Arial" w:cs="Arial"/>
          </w:rPr>
          <w:t>Click here to sign up now.</w:t>
        </w:r>
      </w:hyperlink>
      <w:r w:rsidR="00055C14">
        <w:rPr>
          <w:rFonts w:ascii="Arial" w:hAnsi="Arial" w:cs="Arial"/>
          <w:color w:val="555759"/>
        </w:rPr>
        <w:t xml:space="preserve"> </w:t>
      </w:r>
    </w:p>
    <w:p w14:paraId="576ABC12" w14:textId="77777777" w:rsidR="004D5911" w:rsidRPr="00055C14" w:rsidRDefault="004D5911" w:rsidP="00055C14"/>
    <w:sectPr w:rsidR="004D5911" w:rsidRPr="0005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DC2"/>
    <w:multiLevelType w:val="hybridMultilevel"/>
    <w:tmpl w:val="0A965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043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14"/>
    <w:rsid w:val="00055C14"/>
    <w:rsid w:val="004D5911"/>
    <w:rsid w:val="006553C4"/>
    <w:rsid w:val="007466A7"/>
    <w:rsid w:val="007C1D5E"/>
    <w:rsid w:val="00B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B7F3"/>
  <w15:chartTrackingRefBased/>
  <w15:docId w15:val="{BFDFD26C-D1EF-43CC-A28C-E73046BB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C1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C1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55C14"/>
    <w:pPr>
      <w:ind w:left="720"/>
      <w:contextualSpacing/>
    </w:pPr>
    <w:rPr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055C14"/>
    <w:pPr>
      <w:spacing w:after="0" w:line="240" w:lineRule="auto"/>
    </w:pPr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55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14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14"/>
    <w:rPr>
      <w:rFonts w:ascii="Calibri" w:hAnsi="Calibri" w:cs="Calibri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.org/gooddaybio-archiv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o.org/goodd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o.org/gooddaybio-archive/pahpa-moves-forward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io.org/gooddaybio-archive/pbm-bills-advance-house-and-senat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io.org/goodd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21DEE369FF348ACDEBDEBE7017516" ma:contentTypeVersion="17" ma:contentTypeDescription="Create a new document." ma:contentTypeScope="" ma:versionID="83f91b3fa1dac32dd2aec51debd993f3">
  <xsd:schema xmlns:xsd="http://www.w3.org/2001/XMLSchema" xmlns:xs="http://www.w3.org/2001/XMLSchema" xmlns:p="http://schemas.microsoft.com/office/2006/metadata/properties" xmlns:ns2="6130fd00-dc59-48b4-92a3-282680c4fdfe" xmlns:ns3="248ae433-5ff7-436e-b3d2-2e13995ad37a" targetNamespace="http://schemas.microsoft.com/office/2006/metadata/properties" ma:root="true" ma:fieldsID="b5508a77ed58b13c43978ead5104064c" ns2:_="" ns3:_="">
    <xsd:import namespace="6130fd00-dc59-48b4-92a3-282680c4fdfe"/>
    <xsd:import namespace="248ae433-5ff7-436e-b3d2-2e13995ad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fd00-dc59-48b4-92a3-282680c4f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71832c-c563-4ecd-86ce-abb25da32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e433-5ff7-436e-b3d2-2e13995ad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61007-0889-42b4-802b-3e1d9c60c72e}" ma:internalName="TaxCatchAll" ma:showField="CatchAllData" ma:web="248ae433-5ff7-436e-b3d2-2e13995ad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0fd00-dc59-48b4-92a3-282680c4fdfe">
      <Terms xmlns="http://schemas.microsoft.com/office/infopath/2007/PartnerControls"/>
    </lcf76f155ced4ddcb4097134ff3c332f>
    <TaxCatchAll xmlns="248ae433-5ff7-436e-b3d2-2e13995ad37a" xsi:nil="true"/>
  </documentManagement>
</p:properties>
</file>

<file path=customXml/itemProps1.xml><?xml version="1.0" encoding="utf-8"?>
<ds:datastoreItem xmlns:ds="http://schemas.openxmlformats.org/officeDocument/2006/customXml" ds:itemID="{5B28DE81-3368-4011-9D89-506F4892A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41389-EDD4-4D4B-B7D8-1551DE216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0fd00-dc59-48b4-92a3-282680c4fdfe"/>
    <ds:schemaRef ds:uri="248ae433-5ff7-436e-b3d2-2e13995ad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96C81-7FCB-449D-903D-20545395022E}">
  <ds:schemaRefs>
    <ds:schemaRef ds:uri="http://schemas.microsoft.com/office/2006/metadata/properties"/>
    <ds:schemaRef ds:uri="http://schemas.microsoft.com/office/infopath/2007/PartnerControls"/>
    <ds:schemaRef ds:uri="6130fd00-dc59-48b4-92a3-282680c4fdfe"/>
    <ds:schemaRef ds:uri="248ae433-5ff7-436e-b3d2-2e13995ad3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Brady</dc:creator>
  <cp:keywords/>
  <dc:description/>
  <cp:lastModifiedBy>Will Cyphers</cp:lastModifiedBy>
  <cp:revision>4</cp:revision>
  <dcterms:created xsi:type="dcterms:W3CDTF">2023-08-22T21:51:00Z</dcterms:created>
  <dcterms:modified xsi:type="dcterms:W3CDTF">2023-08-22T21:55:00Z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0x01010078321DEE369FF348ACDEBDEBE7017516</vt:lpwstr>
  </property>
</Properties>
</file>