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FC0126" w:rsidRPr="00EC3DDC" w:rsidTr="00FC0126">
        <w:trPr>
          <w:trHeight w:val="4673"/>
          <w:tblCellSpacing w:w="0" w:type="dxa"/>
        </w:trPr>
        <w:tc>
          <w:tcPr>
            <w:tcW w:w="5000" w:type="pct"/>
            <w:hideMark/>
          </w:tcPr>
          <w:p w:rsidR="00FC0126" w:rsidRPr="00EC3DDC" w:rsidRDefault="00FC0126" w:rsidP="004E66B2">
            <w:pPr>
              <w:spacing w:before="100" w:beforeAutospacing="1" w:after="100" w:afterAutospacing="1" w:line="390" w:lineRule="atLeast"/>
              <w:jc w:val="center"/>
              <w:rPr>
                <w:rFonts w:eastAsia="Times New Roman"/>
                <w:color w:val="000000"/>
                <w:sz w:val="39"/>
                <w:szCs w:val="39"/>
              </w:rPr>
            </w:pPr>
            <w:bookmarkStart w:id="0" w:name="_GoBack"/>
            <w:bookmarkEnd w:id="0"/>
            <w:r w:rsidRPr="00EC3DDC">
              <w:rPr>
                <w:rFonts w:eastAsia="Times New Roman"/>
                <w:b/>
                <w:color w:val="000000"/>
                <w:sz w:val="39"/>
                <w:szCs w:val="39"/>
              </w:rPr>
              <w:t>Employee Business Resource Groups (EBRGs)</w:t>
            </w:r>
          </w:p>
          <w:p w:rsidR="00FC0126" w:rsidRPr="00306856" w:rsidRDefault="00FC0126" w:rsidP="004E66B2">
            <w:pPr>
              <w:spacing w:before="100" w:beforeAutospacing="1" w:after="100" w:afterAutospacing="1" w:line="225" w:lineRule="atLeast"/>
              <w:rPr>
                <w:rFonts w:eastAsia="Times New Roman"/>
                <w:color w:val="212121"/>
              </w:rPr>
            </w:pPr>
            <w:r w:rsidRPr="00306856">
              <w:rPr>
                <w:rFonts w:eastAsia="Times New Roman"/>
                <w:color w:val="212121"/>
              </w:rPr>
              <w:t>When you formalize your professional relationship with employees who share common cultural interests by joining an EBRG, we recognize the strategic value and impact to business results that are possible.​</w:t>
            </w:r>
            <w:r>
              <w:rPr>
                <w:rFonts w:eastAsia="Times New Roman"/>
                <w:color w:val="212121"/>
              </w:rPr>
              <w:t xml:space="preserve">  </w:t>
            </w:r>
            <w:r w:rsidRPr="00306856">
              <w:rPr>
                <w:rFonts w:eastAsia="Times New Roman"/>
                <w:color w:val="212121"/>
              </w:rPr>
              <w:t>​Participation in an EBRG benefits you and our company.</w:t>
            </w:r>
          </w:p>
          <w:p w:rsidR="00FC0126" w:rsidRPr="00306856" w:rsidRDefault="00FC0126" w:rsidP="004E66B2">
            <w:pPr>
              <w:spacing w:before="100" w:beforeAutospacing="1" w:after="100" w:afterAutospacing="1" w:line="225" w:lineRule="atLeast"/>
              <w:rPr>
                <w:rFonts w:eastAsia="Times New Roman"/>
                <w:b/>
                <w:bCs/>
                <w:color w:val="212121"/>
              </w:rPr>
            </w:pPr>
            <w:r w:rsidRPr="00306856">
              <w:rPr>
                <w:rFonts w:eastAsia="Times New Roman"/>
                <w:b/>
                <w:bCs/>
                <w:color w:val="212121"/>
              </w:rPr>
              <w:t xml:space="preserve">EBRGs at a Glance </w:t>
            </w:r>
          </w:p>
          <w:p w:rsidR="00FC0126" w:rsidRPr="00306856" w:rsidRDefault="00FC0126" w:rsidP="004E66B2">
            <w:pPr>
              <w:pStyle w:val="NoSpacing"/>
            </w:pPr>
            <w:r w:rsidRPr="00306856">
              <w:t>EBRGs present an opportunity for you to:</w:t>
            </w:r>
          </w:p>
          <w:p w:rsidR="00FC0126" w:rsidRPr="00306856" w:rsidRDefault="00FC0126" w:rsidP="00FC0126">
            <w:pPr>
              <w:pStyle w:val="NoSpacing"/>
              <w:numPr>
                <w:ilvl w:val="0"/>
                <w:numId w:val="5"/>
              </w:numPr>
            </w:pPr>
            <w:r w:rsidRPr="00306856">
              <w:t>Align with the Global Diversity and Inclusion (GD&amp;I) Global Priorities</w:t>
            </w:r>
          </w:p>
          <w:p w:rsidR="00FC0126" w:rsidRPr="00306856" w:rsidRDefault="00FC0126" w:rsidP="00FC0126">
            <w:pPr>
              <w:pStyle w:val="NoSpacing"/>
              <w:numPr>
                <w:ilvl w:val="0"/>
                <w:numId w:val="5"/>
              </w:numPr>
            </w:pPr>
            <w:r w:rsidRPr="00306856">
              <w:t>Business Integration/Insights and Talent Management</w:t>
            </w:r>
          </w:p>
          <w:p w:rsidR="00FC0126" w:rsidRPr="00306856" w:rsidRDefault="00FC0126" w:rsidP="00FC0126">
            <w:pPr>
              <w:pStyle w:val="NoSpacing"/>
              <w:numPr>
                <w:ilvl w:val="0"/>
                <w:numId w:val="5"/>
              </w:numPr>
            </w:pPr>
            <w:r w:rsidRPr="00306856">
              <w:t>Learn about the unique culture, background and experience of other colleagues</w:t>
            </w:r>
          </w:p>
          <w:p w:rsidR="00FC0126" w:rsidRPr="00306856" w:rsidRDefault="00FC0126" w:rsidP="00FC0126">
            <w:pPr>
              <w:pStyle w:val="NoSpacing"/>
              <w:numPr>
                <w:ilvl w:val="0"/>
                <w:numId w:val="5"/>
              </w:numPr>
            </w:pPr>
            <w:r w:rsidRPr="00306856">
              <w:t>Provide diversity insights to the Company's operating divisions and staff functions</w:t>
            </w:r>
          </w:p>
          <w:p w:rsidR="00FC0126" w:rsidRPr="00306856" w:rsidRDefault="00FC0126" w:rsidP="00FC0126">
            <w:pPr>
              <w:pStyle w:val="NoSpacing"/>
              <w:numPr>
                <w:ilvl w:val="0"/>
                <w:numId w:val="5"/>
              </w:numPr>
            </w:pPr>
            <w:r w:rsidRPr="00306856">
              <w:t>Foster leadership effectiveness</w:t>
            </w:r>
          </w:p>
          <w:p w:rsidR="00FC0126" w:rsidRPr="00306856" w:rsidRDefault="00FC0126" w:rsidP="00FC0126">
            <w:pPr>
              <w:pStyle w:val="NoSpacing"/>
              <w:numPr>
                <w:ilvl w:val="0"/>
                <w:numId w:val="5"/>
              </w:numPr>
            </w:pPr>
            <w:r w:rsidRPr="00306856">
              <w:t>Support critical business functions</w:t>
            </w:r>
          </w:p>
          <w:p w:rsidR="00FC0126" w:rsidRPr="008B2E6B" w:rsidRDefault="00FC0126" w:rsidP="00FC0126">
            <w:pPr>
              <w:pStyle w:val="ListParagraph"/>
              <w:numPr>
                <w:ilvl w:val="0"/>
                <w:numId w:val="5"/>
              </w:numPr>
              <w:spacing w:line="225" w:lineRule="atLeast"/>
              <w:rPr>
                <w:rFonts w:eastAsia="Times New Roman"/>
                <w:color w:val="212121"/>
              </w:rPr>
            </w:pPr>
            <w:r w:rsidRPr="008B2E6B">
              <w:rPr>
                <w:rFonts w:eastAsia="Times New Roman"/>
                <w:color w:val="212121"/>
              </w:rPr>
              <w:t>Participation in EBRGs offers opportunities for individual growth and development, while fostering higher productivity and engagement.</w:t>
            </w:r>
          </w:p>
          <w:p w:rsidR="00FC0126" w:rsidRPr="00306856" w:rsidRDefault="00FC0126" w:rsidP="004E66B2">
            <w:pPr>
              <w:spacing w:line="225" w:lineRule="atLeast"/>
              <w:rPr>
                <w:rFonts w:eastAsia="Times New Roman"/>
                <w:color w:val="212121"/>
              </w:rPr>
            </w:pPr>
            <w:r w:rsidRPr="00306856">
              <w:rPr>
                <w:rFonts w:eastAsia="Times New Roman"/>
                <w:color w:val="212121"/>
              </w:rPr>
              <w:t> </w:t>
            </w:r>
          </w:p>
          <w:p w:rsidR="00FC0126" w:rsidRDefault="00FC0126" w:rsidP="004E66B2">
            <w:pPr>
              <w:spacing w:line="225" w:lineRule="atLeast"/>
              <w:rPr>
                <w:rFonts w:eastAsia="Times New Roman"/>
                <w:color w:val="212121"/>
              </w:rPr>
            </w:pPr>
            <w:r w:rsidRPr="00306856">
              <w:rPr>
                <w:rFonts w:eastAsia="Times New Roman"/>
                <w:color w:val="212121"/>
              </w:rPr>
              <w:t xml:space="preserve">EBRGs provide an important platform for you to contribute to business results. You can share intuitive insights about the affinity populations you represent.  You can work in collaboration with the respective Employee Business Resource Group (EBRG) to support business objectives related business integration/insights and Talent. All this makes EBRGs a vital source of </w:t>
            </w:r>
            <w:r>
              <w:rPr>
                <w:rFonts w:eastAsia="Times New Roman"/>
                <w:color w:val="212121"/>
              </w:rPr>
              <w:t>the organization’s</w:t>
            </w:r>
            <w:r w:rsidRPr="00306856">
              <w:rPr>
                <w:rFonts w:eastAsia="Times New Roman"/>
                <w:color w:val="212121"/>
              </w:rPr>
              <w:t xml:space="preserve"> competitive advantage. </w:t>
            </w:r>
          </w:p>
          <w:p w:rsidR="00FC0126" w:rsidRDefault="00FC0126" w:rsidP="004E66B2">
            <w:pPr>
              <w:spacing w:line="225" w:lineRule="atLeast"/>
              <w:rPr>
                <w:rFonts w:eastAsia="Times New Roman"/>
                <w:color w:val="212121"/>
              </w:rPr>
            </w:pPr>
          </w:p>
          <w:p w:rsidR="00FC0126" w:rsidRPr="00FC0126" w:rsidRDefault="00FC0126" w:rsidP="004E66B2">
            <w:pPr>
              <w:spacing w:line="225" w:lineRule="atLeast"/>
              <w:rPr>
                <w:rFonts w:eastAsia="Times New Roman"/>
                <w:b/>
                <w:color w:val="212121"/>
              </w:rPr>
            </w:pPr>
            <w:r w:rsidRPr="00FC0126">
              <w:rPr>
                <w:rFonts w:eastAsia="Times New Roman"/>
                <w:b/>
                <w:color w:val="212121"/>
              </w:rPr>
              <w:t>Roles of the EBRG’s:</w:t>
            </w:r>
          </w:p>
          <w:p w:rsidR="00FC0126" w:rsidRDefault="00FC0126" w:rsidP="004E66B2">
            <w:pPr>
              <w:spacing w:line="225" w:lineRule="atLeast"/>
              <w:rPr>
                <w:rFonts w:eastAsia="Times New Roman"/>
                <w:color w:val="212121"/>
              </w:rPr>
            </w:pPr>
            <w:r w:rsidRPr="00306856">
              <w:rPr>
                <w:rFonts w:eastAsia="Times New Roman"/>
                <w:color w:val="212121"/>
              </w:rPr>
              <w:t> </w:t>
            </w:r>
          </w:p>
          <w:p w:rsidR="00FC0126" w:rsidRPr="00306856" w:rsidRDefault="00FC0126" w:rsidP="00FC0126">
            <w:pPr>
              <w:numPr>
                <w:ilvl w:val="0"/>
                <w:numId w:val="8"/>
              </w:numPr>
              <w:rPr>
                <w:rFonts w:asciiTheme="minorHAnsi" w:hAnsiTheme="minorHAnsi"/>
              </w:rPr>
            </w:pPr>
            <w:r w:rsidRPr="00306856">
              <w:rPr>
                <w:rFonts w:asciiTheme="minorHAnsi" w:hAnsiTheme="minorHAnsi"/>
              </w:rPr>
              <w:t>Drive the message of global diversity and inclusion throughout Merck and MSD through the implementation of our GD&amp;I key initiatives</w:t>
            </w:r>
          </w:p>
          <w:p w:rsidR="00FC0126" w:rsidRPr="00306856" w:rsidRDefault="00FC0126" w:rsidP="00FC0126">
            <w:pPr>
              <w:numPr>
                <w:ilvl w:val="0"/>
                <w:numId w:val="8"/>
              </w:numPr>
              <w:rPr>
                <w:rFonts w:asciiTheme="minorHAnsi" w:hAnsiTheme="minorHAnsi"/>
              </w:rPr>
            </w:pPr>
            <w:r w:rsidRPr="00306856">
              <w:rPr>
                <w:rFonts w:asciiTheme="minorHAnsi" w:hAnsiTheme="minorHAnsi"/>
              </w:rPr>
              <w:t>Provide insights on critical Human Resources strategies, policies and procedures to ensure success across our broad diverse employee base</w:t>
            </w:r>
          </w:p>
          <w:p w:rsidR="00FC0126" w:rsidRPr="00306856" w:rsidRDefault="00FC0126" w:rsidP="00FC0126">
            <w:pPr>
              <w:numPr>
                <w:ilvl w:val="0"/>
                <w:numId w:val="8"/>
              </w:numPr>
              <w:rPr>
                <w:rFonts w:asciiTheme="minorHAnsi" w:hAnsiTheme="minorHAnsi"/>
              </w:rPr>
            </w:pPr>
            <w:r w:rsidRPr="00306856">
              <w:rPr>
                <w:rFonts w:asciiTheme="minorHAnsi" w:hAnsiTheme="minorHAnsi"/>
              </w:rPr>
              <w:t>Provide insights and feedback on key business strategies and initiatives to create a competitive advantage for the company</w:t>
            </w:r>
          </w:p>
          <w:p w:rsidR="00FC0126" w:rsidRPr="00306856" w:rsidRDefault="00FC0126" w:rsidP="00FC0126">
            <w:pPr>
              <w:numPr>
                <w:ilvl w:val="0"/>
                <w:numId w:val="8"/>
              </w:numPr>
              <w:rPr>
                <w:rFonts w:asciiTheme="minorHAnsi" w:hAnsiTheme="minorHAnsi"/>
              </w:rPr>
            </w:pPr>
            <w:r w:rsidRPr="00306856">
              <w:rPr>
                <w:rFonts w:asciiTheme="minorHAnsi" w:hAnsiTheme="minorHAnsi"/>
              </w:rPr>
              <w:t>Talent Management – Participate in capability building sessions to create the next generation of diverse leaders</w:t>
            </w:r>
          </w:p>
          <w:p w:rsidR="00FC0126" w:rsidRPr="00306856" w:rsidRDefault="00FC0126" w:rsidP="00FC0126">
            <w:pPr>
              <w:numPr>
                <w:ilvl w:val="0"/>
                <w:numId w:val="8"/>
              </w:numPr>
              <w:rPr>
                <w:rFonts w:asciiTheme="minorHAnsi" w:hAnsiTheme="minorHAnsi"/>
              </w:rPr>
            </w:pPr>
            <w:r w:rsidRPr="00306856">
              <w:rPr>
                <w:rFonts w:asciiTheme="minorHAnsi" w:hAnsiTheme="minorHAnsi"/>
              </w:rPr>
              <w:t>Optimize the impact of the local EBRG Chapters across the globe to enhance our brand in the local communities</w:t>
            </w:r>
          </w:p>
          <w:p w:rsidR="00FC0126" w:rsidRPr="00306856" w:rsidRDefault="00FC0126" w:rsidP="004E66B2">
            <w:pPr>
              <w:spacing w:line="225" w:lineRule="atLeast"/>
              <w:rPr>
                <w:rFonts w:eastAsia="Times New Roman"/>
                <w:color w:val="212121"/>
              </w:rPr>
            </w:pPr>
          </w:p>
          <w:p w:rsidR="00FC0126" w:rsidRPr="00306856" w:rsidRDefault="00FC0126" w:rsidP="004E66B2">
            <w:pPr>
              <w:spacing w:line="225" w:lineRule="atLeast"/>
              <w:rPr>
                <w:rFonts w:eastAsia="Times New Roman"/>
                <w:b/>
                <w:bCs/>
                <w:color w:val="212121"/>
              </w:rPr>
            </w:pPr>
            <w:r w:rsidRPr="00306856">
              <w:rPr>
                <w:rFonts w:eastAsia="Times New Roman"/>
                <w:b/>
                <w:bCs/>
                <w:color w:val="212121"/>
              </w:rPr>
              <w:t xml:space="preserve">Key EBRG Priorities </w:t>
            </w:r>
          </w:p>
          <w:p w:rsidR="00FC0126" w:rsidRPr="00306856" w:rsidRDefault="00FC0126" w:rsidP="00FC0126">
            <w:pPr>
              <w:numPr>
                <w:ilvl w:val="0"/>
                <w:numId w:val="1"/>
              </w:numPr>
              <w:spacing w:before="100" w:beforeAutospacing="1" w:after="100" w:afterAutospacing="1" w:line="225" w:lineRule="atLeast"/>
              <w:rPr>
                <w:rFonts w:eastAsia="Times New Roman"/>
                <w:color w:val="212121"/>
              </w:rPr>
            </w:pPr>
            <w:r w:rsidRPr="00306856">
              <w:rPr>
                <w:rFonts w:eastAsia="Times New Roman"/>
                <w:color w:val="212121"/>
              </w:rPr>
              <w:t xml:space="preserve">Business integration/insights </w:t>
            </w:r>
          </w:p>
          <w:p w:rsidR="00FC0126" w:rsidRPr="00306856" w:rsidRDefault="00FC0126" w:rsidP="00FC0126">
            <w:pPr>
              <w:numPr>
                <w:ilvl w:val="1"/>
                <w:numId w:val="1"/>
              </w:numPr>
              <w:spacing w:before="100" w:beforeAutospacing="1" w:after="100" w:afterAutospacing="1" w:line="225" w:lineRule="atLeast"/>
              <w:rPr>
                <w:rFonts w:eastAsia="Times New Roman"/>
                <w:color w:val="212121"/>
              </w:rPr>
            </w:pPr>
            <w:r w:rsidRPr="00306856">
              <w:rPr>
                <w:rFonts w:eastAsia="Times New Roman"/>
                <w:color w:val="212121"/>
              </w:rPr>
              <w:t>Provide perspective of the business through the experiences of persons from multiple backgrounds, cultures and experiences</w:t>
            </w:r>
          </w:p>
          <w:p w:rsidR="00FC0126" w:rsidRPr="00306856" w:rsidRDefault="00FC0126" w:rsidP="00FC0126">
            <w:pPr>
              <w:numPr>
                <w:ilvl w:val="1"/>
                <w:numId w:val="1"/>
              </w:numPr>
              <w:spacing w:before="100" w:beforeAutospacing="1" w:after="100" w:afterAutospacing="1" w:line="225" w:lineRule="atLeast"/>
              <w:rPr>
                <w:rFonts w:eastAsia="Times New Roman"/>
                <w:color w:val="212121"/>
              </w:rPr>
            </w:pPr>
            <w:r w:rsidRPr="00306856">
              <w:rPr>
                <w:rFonts w:eastAsia="Times New Roman"/>
                <w:color w:val="212121"/>
              </w:rPr>
              <w:t>Offer intuitive knowledge on multi-cultural markets and the growth markets outside of the United States</w:t>
            </w:r>
          </w:p>
          <w:p w:rsidR="00FC0126" w:rsidRPr="00306856" w:rsidRDefault="00FC0126" w:rsidP="00FC0126">
            <w:pPr>
              <w:numPr>
                <w:ilvl w:val="0"/>
                <w:numId w:val="1"/>
              </w:numPr>
              <w:spacing w:before="100" w:beforeAutospacing="1" w:after="100" w:afterAutospacing="1" w:line="225" w:lineRule="atLeast"/>
              <w:rPr>
                <w:rFonts w:eastAsia="Times New Roman"/>
                <w:color w:val="212121"/>
              </w:rPr>
            </w:pPr>
            <w:r w:rsidRPr="00306856">
              <w:rPr>
                <w:rFonts w:eastAsia="Times New Roman"/>
                <w:color w:val="212121"/>
              </w:rPr>
              <w:t>Talent Management</w:t>
            </w:r>
          </w:p>
          <w:p w:rsidR="00FC0126" w:rsidRPr="00306856" w:rsidRDefault="00FC0126" w:rsidP="00FC0126">
            <w:pPr>
              <w:numPr>
                <w:ilvl w:val="1"/>
                <w:numId w:val="1"/>
              </w:numPr>
              <w:spacing w:before="100" w:beforeAutospacing="1" w:after="100" w:afterAutospacing="1" w:line="225" w:lineRule="atLeast"/>
              <w:rPr>
                <w:rFonts w:eastAsia="Times New Roman"/>
                <w:color w:val="212121"/>
              </w:rPr>
            </w:pPr>
            <w:r w:rsidRPr="00306856">
              <w:rPr>
                <w:rFonts w:eastAsia="Times New Roman"/>
                <w:color w:val="212121"/>
              </w:rPr>
              <w:t xml:space="preserve">Ensure professional growth of its members through networking, mentoring and </w:t>
            </w:r>
            <w:r w:rsidRPr="00306856">
              <w:rPr>
                <w:rFonts w:eastAsia="Times New Roman"/>
                <w:color w:val="212121"/>
              </w:rPr>
              <w:lastRenderedPageBreak/>
              <w:t>leadership development</w:t>
            </w:r>
          </w:p>
          <w:p w:rsidR="00FC0126" w:rsidRPr="00306856" w:rsidRDefault="00FC0126" w:rsidP="00FC0126">
            <w:pPr>
              <w:numPr>
                <w:ilvl w:val="1"/>
                <w:numId w:val="1"/>
              </w:numPr>
              <w:spacing w:before="100" w:beforeAutospacing="1" w:after="100" w:afterAutospacing="1" w:line="225" w:lineRule="atLeast"/>
              <w:rPr>
                <w:rFonts w:eastAsia="Times New Roman"/>
                <w:color w:val="212121"/>
              </w:rPr>
            </w:pPr>
            <w:r w:rsidRPr="00306856">
              <w:rPr>
                <w:rFonts w:eastAsia="Times New Roman"/>
                <w:color w:val="212121"/>
              </w:rPr>
              <w:t xml:space="preserve">Foster greater workforce diversity through inclusion and engagement </w:t>
            </w:r>
          </w:p>
          <w:p w:rsidR="00FC0126" w:rsidRPr="00306856" w:rsidRDefault="00FC0126" w:rsidP="004E66B2">
            <w:pPr>
              <w:spacing w:before="100" w:beforeAutospacing="1" w:after="100" w:afterAutospacing="1" w:line="225" w:lineRule="atLeast"/>
              <w:rPr>
                <w:rFonts w:eastAsia="Times New Roman"/>
                <w:color w:val="212121"/>
              </w:rPr>
            </w:pPr>
            <w:r w:rsidRPr="00306856">
              <w:rPr>
                <w:rFonts w:eastAsia="Times New Roman"/>
                <w:color w:val="212121"/>
              </w:rPr>
              <w:t xml:space="preserve">An employee is welcome to join any employee business resource group(s). </w:t>
            </w:r>
            <w:r>
              <w:rPr>
                <w:rFonts w:eastAsia="Times New Roman"/>
                <w:color w:val="212121"/>
              </w:rPr>
              <w:t xml:space="preserve">The </w:t>
            </w:r>
            <w:r w:rsidRPr="00306856">
              <w:rPr>
                <w:rFonts w:eastAsia="Times New Roman"/>
                <w:color w:val="212121"/>
              </w:rPr>
              <w:t>current Employee Business Resources Groups represent a diverse set of interests and affinities, including:</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​Differently Abled</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Asia Pacific</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Hispanic/Latinos</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 xml:space="preserve">Interfaith </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League of Employees of African Descent</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Native American/Indigenous EBRG</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LGBT (Lesbian, Gay, Bisexual and Transgender employees)</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 xml:space="preserve">Veteran’s </w:t>
            </w:r>
          </w:p>
          <w:p w:rsidR="00FC0126" w:rsidRPr="00306856" w:rsidRDefault="00FC0126" w:rsidP="00FC0126">
            <w:pPr>
              <w:numPr>
                <w:ilvl w:val="0"/>
                <w:numId w:val="2"/>
              </w:numPr>
              <w:spacing w:before="100" w:beforeAutospacing="1" w:after="100" w:afterAutospacing="1" w:line="225" w:lineRule="atLeast"/>
              <w:rPr>
                <w:rFonts w:eastAsia="Times New Roman"/>
                <w:color w:val="212121"/>
              </w:rPr>
            </w:pPr>
            <w:r w:rsidRPr="00306856">
              <w:rPr>
                <w:rFonts w:eastAsia="Times New Roman"/>
                <w:color w:val="212121"/>
              </w:rPr>
              <w:t>Women’s Millennial/Generation Y</w:t>
            </w:r>
          </w:p>
          <w:p w:rsidR="00FC0126" w:rsidRPr="00306856" w:rsidRDefault="00FC0126" w:rsidP="004E66B2">
            <w:pPr>
              <w:spacing w:line="225" w:lineRule="atLeast"/>
              <w:rPr>
                <w:rFonts w:eastAsia="Times New Roman"/>
                <w:b/>
                <w:bCs/>
                <w:color w:val="212121"/>
              </w:rPr>
            </w:pPr>
            <w:r w:rsidRPr="00306856">
              <w:rPr>
                <w:rFonts w:eastAsia="Times New Roman"/>
                <w:b/>
                <w:bCs/>
                <w:color w:val="212121"/>
              </w:rPr>
              <w:t xml:space="preserve">How Do You Join an EBRG? </w:t>
            </w:r>
          </w:p>
          <w:p w:rsidR="00FC0126" w:rsidRPr="00306856" w:rsidRDefault="00FC0126" w:rsidP="004E66B2">
            <w:pPr>
              <w:spacing w:line="225" w:lineRule="atLeast"/>
              <w:rPr>
                <w:rFonts w:eastAsia="Times New Roman"/>
                <w:color w:val="212121"/>
              </w:rPr>
            </w:pPr>
          </w:p>
          <w:p w:rsidR="00FC0126" w:rsidRPr="00306856" w:rsidRDefault="00FC0126" w:rsidP="004E66B2">
            <w:pPr>
              <w:spacing w:line="225" w:lineRule="atLeast"/>
              <w:rPr>
                <w:rFonts w:eastAsia="Times New Roman"/>
                <w:color w:val="212121"/>
              </w:rPr>
            </w:pPr>
            <w:r w:rsidRPr="00306856">
              <w:rPr>
                <w:rFonts w:eastAsia="Times New Roman"/>
                <w:color w:val="212121"/>
              </w:rPr>
              <w:t>You can join an EBRG by:</w:t>
            </w:r>
          </w:p>
          <w:p w:rsidR="00FC0126" w:rsidRPr="00306856" w:rsidRDefault="00FC0126" w:rsidP="00FC0126">
            <w:pPr>
              <w:numPr>
                <w:ilvl w:val="0"/>
                <w:numId w:val="3"/>
              </w:numPr>
              <w:spacing w:before="100" w:beforeAutospacing="1" w:after="100" w:afterAutospacing="1" w:line="225" w:lineRule="atLeast"/>
              <w:rPr>
                <w:rFonts w:eastAsia="Times New Roman"/>
                <w:color w:val="212121"/>
              </w:rPr>
            </w:pPr>
            <w:r w:rsidRPr="00306856">
              <w:rPr>
                <w:rFonts w:eastAsia="Times New Roman"/>
                <w:color w:val="212121"/>
              </w:rPr>
              <w:t>Attending and participating in an upcoming EBRG meeting at your location</w:t>
            </w:r>
          </w:p>
          <w:p w:rsidR="00FC0126" w:rsidRPr="00306856" w:rsidRDefault="00FC0126" w:rsidP="00FC0126">
            <w:pPr>
              <w:numPr>
                <w:ilvl w:val="0"/>
                <w:numId w:val="3"/>
              </w:numPr>
              <w:spacing w:before="100" w:beforeAutospacing="1" w:after="100" w:afterAutospacing="1" w:line="225" w:lineRule="atLeast"/>
              <w:rPr>
                <w:rFonts w:eastAsia="Times New Roman"/>
                <w:color w:val="212121"/>
              </w:rPr>
            </w:pPr>
            <w:r>
              <w:rPr>
                <w:rFonts w:eastAsia="Times New Roman"/>
                <w:color w:val="212121"/>
              </w:rPr>
              <w:t>Sign up as a member and provide the appropriate information either on line or in person at an EBRG event</w:t>
            </w:r>
          </w:p>
          <w:p w:rsidR="00FC0126" w:rsidRPr="00306856" w:rsidRDefault="00FC0126" w:rsidP="004E66B2">
            <w:pPr>
              <w:spacing w:line="225" w:lineRule="atLeast"/>
              <w:rPr>
                <w:rFonts w:eastAsia="Times New Roman"/>
                <w:b/>
                <w:bCs/>
                <w:color w:val="212121"/>
              </w:rPr>
            </w:pPr>
            <w:r w:rsidRPr="00306856">
              <w:rPr>
                <w:rFonts w:eastAsia="Times New Roman"/>
                <w:b/>
                <w:bCs/>
                <w:color w:val="212121"/>
              </w:rPr>
              <w:t>How Do You Start an EBRG</w:t>
            </w:r>
            <w:r>
              <w:rPr>
                <w:rFonts w:eastAsia="Times New Roman"/>
                <w:b/>
                <w:bCs/>
                <w:color w:val="212121"/>
              </w:rPr>
              <w:t xml:space="preserve"> Chapter</w:t>
            </w:r>
            <w:r w:rsidRPr="00306856">
              <w:rPr>
                <w:rFonts w:eastAsia="Times New Roman"/>
                <w:b/>
                <w:bCs/>
                <w:color w:val="212121"/>
              </w:rPr>
              <w:t xml:space="preserve">? </w:t>
            </w:r>
          </w:p>
          <w:p w:rsidR="00FC0126" w:rsidRPr="00306856" w:rsidRDefault="00FC0126" w:rsidP="00FC0126">
            <w:pPr>
              <w:numPr>
                <w:ilvl w:val="0"/>
                <w:numId w:val="4"/>
              </w:numPr>
              <w:spacing w:before="100" w:beforeAutospacing="1" w:after="100" w:afterAutospacing="1" w:line="225" w:lineRule="atLeast"/>
              <w:rPr>
                <w:rFonts w:eastAsia="Times New Roman"/>
                <w:color w:val="212121"/>
              </w:rPr>
            </w:pPr>
            <w:r w:rsidRPr="00306856">
              <w:rPr>
                <w:rFonts w:eastAsia="Times New Roman"/>
                <w:color w:val="212121"/>
              </w:rPr>
              <w:t>Gather a core group of interested employees, a majority of whom reflect the EBRG’s dimension of diversity</w:t>
            </w:r>
          </w:p>
          <w:p w:rsidR="00FC0126" w:rsidRPr="00306856" w:rsidRDefault="00FC0126" w:rsidP="00FC0126">
            <w:pPr>
              <w:numPr>
                <w:ilvl w:val="0"/>
                <w:numId w:val="4"/>
              </w:numPr>
              <w:spacing w:before="100" w:beforeAutospacing="1" w:after="100" w:afterAutospacing="1" w:line="225" w:lineRule="atLeast"/>
              <w:rPr>
                <w:rFonts w:eastAsia="Times New Roman"/>
                <w:color w:val="212121"/>
              </w:rPr>
            </w:pPr>
            <w:r w:rsidRPr="00306856">
              <w:rPr>
                <w:rFonts w:eastAsia="Times New Roman"/>
                <w:color w:val="212121"/>
              </w:rPr>
              <w:t>Obtain advice from the appropriate EBRG Leader</w:t>
            </w:r>
          </w:p>
          <w:p w:rsidR="00FC0126" w:rsidRPr="00306856" w:rsidRDefault="00FC0126" w:rsidP="00FC0126">
            <w:pPr>
              <w:numPr>
                <w:ilvl w:val="0"/>
                <w:numId w:val="4"/>
              </w:numPr>
              <w:spacing w:before="100" w:beforeAutospacing="1" w:after="100" w:afterAutospacing="1" w:line="225" w:lineRule="atLeast"/>
              <w:rPr>
                <w:rFonts w:eastAsia="Times New Roman"/>
                <w:color w:val="212121"/>
              </w:rPr>
            </w:pPr>
            <w:r w:rsidRPr="00306856">
              <w:rPr>
                <w:rFonts w:eastAsia="Times New Roman"/>
                <w:color w:val="212121"/>
              </w:rPr>
              <w:t>Obtain approval from the Global Diversity &amp; Inclusion C</w:t>
            </w:r>
            <w:r>
              <w:rPr>
                <w:rFonts w:eastAsia="Times New Roman"/>
                <w:color w:val="212121"/>
              </w:rPr>
              <w:t>enter of Excellence</w:t>
            </w:r>
          </w:p>
          <w:p w:rsidR="00FC0126" w:rsidRDefault="00FC0126" w:rsidP="00FC0126">
            <w:pPr>
              <w:numPr>
                <w:ilvl w:val="0"/>
                <w:numId w:val="4"/>
              </w:numPr>
              <w:spacing w:before="100" w:beforeAutospacing="1" w:after="100" w:afterAutospacing="1" w:line="225" w:lineRule="atLeast"/>
              <w:rPr>
                <w:rFonts w:eastAsia="Times New Roman"/>
                <w:color w:val="212121"/>
              </w:rPr>
            </w:pPr>
            <w:r w:rsidRPr="00306856">
              <w:rPr>
                <w:rFonts w:eastAsia="Times New Roman"/>
                <w:color w:val="212121"/>
              </w:rPr>
              <w:t>Develop an organizational structure with guidance from the appropriate EBRG Leader</w:t>
            </w:r>
          </w:p>
          <w:p w:rsidR="00FC0126" w:rsidRPr="00306856" w:rsidRDefault="00FC0126" w:rsidP="00FC0126">
            <w:pPr>
              <w:numPr>
                <w:ilvl w:val="0"/>
                <w:numId w:val="4"/>
              </w:numPr>
              <w:spacing w:before="100" w:beforeAutospacing="1" w:after="100" w:afterAutospacing="1" w:line="225" w:lineRule="atLeast"/>
              <w:rPr>
                <w:rFonts w:eastAsia="Times New Roman"/>
                <w:color w:val="212121"/>
              </w:rPr>
            </w:pPr>
            <w:r>
              <w:rPr>
                <w:rFonts w:eastAsia="Times New Roman"/>
                <w:color w:val="212121"/>
              </w:rPr>
              <w:t>Become familiar with the roles and responsibilities of being an EBRB Chapter Leader  (see Appendix)</w:t>
            </w:r>
          </w:p>
          <w:p w:rsidR="00FC0126" w:rsidRPr="00EC3DDC" w:rsidRDefault="00FC0126" w:rsidP="004E66B2">
            <w:pPr>
              <w:spacing w:line="225" w:lineRule="atLeast"/>
              <w:rPr>
                <w:rFonts w:eastAsia="Times New Roman"/>
                <w:color w:val="212121"/>
                <w:sz w:val="21"/>
                <w:szCs w:val="21"/>
              </w:rPr>
            </w:pPr>
          </w:p>
        </w:tc>
      </w:tr>
    </w:tbl>
    <w:tbl>
      <w:tblPr>
        <w:tblpPr w:leftFromText="180" w:rightFromText="180" w:vertAnchor="text" w:horzAnchor="margin" w:tblpXSpec="center" w:tblpY="10144"/>
        <w:tblW w:w="4285" w:type="pct"/>
        <w:tblCellSpacing w:w="0" w:type="dxa"/>
        <w:tblCellMar>
          <w:left w:w="0" w:type="dxa"/>
          <w:right w:w="0" w:type="dxa"/>
        </w:tblCellMar>
        <w:tblLook w:val="04A0" w:firstRow="1" w:lastRow="0" w:firstColumn="1" w:lastColumn="0" w:noHBand="0" w:noVBand="1"/>
      </w:tblPr>
      <w:tblGrid>
        <w:gridCol w:w="8022"/>
      </w:tblGrid>
      <w:tr w:rsidR="00FC0126" w:rsidRPr="00306856" w:rsidTr="00FC0126">
        <w:trPr>
          <w:tblCellSpacing w:w="0" w:type="dxa"/>
        </w:trPr>
        <w:tc>
          <w:tcPr>
            <w:tcW w:w="5000" w:type="pct"/>
          </w:tcPr>
          <w:p w:rsidR="00FC0126" w:rsidRPr="00306856" w:rsidRDefault="00FC0126" w:rsidP="004E66B2">
            <w:pPr>
              <w:spacing w:before="100" w:beforeAutospacing="1" w:after="100" w:afterAutospacing="1" w:line="390" w:lineRule="atLeast"/>
              <w:rPr>
                <w:rFonts w:asciiTheme="minorHAnsi" w:eastAsia="Times New Roman" w:hAnsiTheme="minorHAnsi" w:cs="Arial"/>
                <w:b/>
                <w:color w:val="000000"/>
              </w:rPr>
            </w:pPr>
          </w:p>
        </w:tc>
      </w:tr>
    </w:tbl>
    <w:p w:rsidR="00FC0126" w:rsidRPr="008B2E6B" w:rsidRDefault="00FC0126" w:rsidP="00FC0126">
      <w:pPr>
        <w:ind w:firstLine="720"/>
        <w:rPr>
          <w:b/>
        </w:rPr>
      </w:pPr>
      <w:r w:rsidRPr="008B2E6B">
        <w:rPr>
          <w:b/>
        </w:rPr>
        <w:t>Things to Consider When Becoming a Chapter Leader:</w:t>
      </w:r>
    </w:p>
    <w:p w:rsidR="00FC0126" w:rsidRPr="00306856" w:rsidRDefault="00FC0126" w:rsidP="00FC0126">
      <w:pPr>
        <w:pStyle w:val="ListParagraph"/>
        <w:numPr>
          <w:ilvl w:val="0"/>
          <w:numId w:val="6"/>
        </w:numPr>
      </w:pPr>
      <w:r w:rsidRPr="00306856">
        <w:t>You must have managerial approval to be a Chapter Lead</w:t>
      </w:r>
    </w:p>
    <w:p w:rsidR="00FC0126" w:rsidRPr="00306856" w:rsidRDefault="00FC0126" w:rsidP="00FC0126">
      <w:pPr>
        <w:pStyle w:val="ListParagraph"/>
        <w:numPr>
          <w:ilvl w:val="0"/>
          <w:numId w:val="6"/>
        </w:numPr>
      </w:pPr>
      <w:r w:rsidRPr="00306856">
        <w:t>Roles and Responsibilities of a ERG Chapter Leader (co-leadership is recommended)</w:t>
      </w:r>
    </w:p>
    <w:p w:rsidR="00FC0126" w:rsidRPr="00306856" w:rsidRDefault="00FC0126" w:rsidP="00FC0126">
      <w:pPr>
        <w:pStyle w:val="ListParagraph"/>
        <w:numPr>
          <w:ilvl w:val="0"/>
          <w:numId w:val="6"/>
        </w:numPr>
      </w:pPr>
      <w:r w:rsidRPr="00306856">
        <w:t>Work with the EBRG Leader to align local chapter activities with overall objectives of the Network</w:t>
      </w:r>
    </w:p>
    <w:p w:rsidR="00FC0126" w:rsidRPr="00306856" w:rsidRDefault="00FC0126" w:rsidP="00FC0126">
      <w:pPr>
        <w:pStyle w:val="ListParagraph"/>
        <w:numPr>
          <w:ilvl w:val="0"/>
          <w:numId w:val="6"/>
        </w:numPr>
      </w:pPr>
      <w:r w:rsidRPr="00306856">
        <w:t>Engage and collaborate with other colleagues across our entire ERG organization to drive membership and networking activities</w:t>
      </w:r>
    </w:p>
    <w:p w:rsidR="00FC0126" w:rsidRPr="00306856" w:rsidRDefault="00FC0126" w:rsidP="00FC0126">
      <w:pPr>
        <w:pStyle w:val="ListParagraph"/>
        <w:numPr>
          <w:ilvl w:val="0"/>
          <w:numId w:val="6"/>
        </w:numPr>
      </w:pPr>
      <w:r w:rsidRPr="00306856">
        <w:t>Become familiar with the Roles and Responsibility of being a ERG Chapter Leader</w:t>
      </w:r>
    </w:p>
    <w:p w:rsidR="00FC0126" w:rsidRPr="00306856" w:rsidRDefault="00FC0126" w:rsidP="00FC0126">
      <w:pPr>
        <w:ind w:left="720"/>
        <w:rPr>
          <w:rFonts w:eastAsia="Times New Roman" w:cs="Times New Roman"/>
        </w:rPr>
      </w:pPr>
    </w:p>
    <w:p w:rsidR="00FC0126" w:rsidRPr="008B2E6B" w:rsidRDefault="00FC0126" w:rsidP="00FC0126">
      <w:pPr>
        <w:ind w:left="720"/>
        <w:rPr>
          <w:b/>
        </w:rPr>
      </w:pPr>
      <w:r w:rsidRPr="008B2E6B">
        <w:rPr>
          <w:b/>
        </w:rPr>
        <w:t>Next Steps:</w:t>
      </w:r>
    </w:p>
    <w:p w:rsidR="00FC0126" w:rsidRPr="00306856" w:rsidRDefault="00FC0126" w:rsidP="00FC0126">
      <w:pPr>
        <w:pStyle w:val="ListParagraph"/>
        <w:numPr>
          <w:ilvl w:val="0"/>
          <w:numId w:val="7"/>
        </w:numPr>
      </w:pPr>
      <w:r w:rsidRPr="00306856">
        <w:t>Receive approval from your direct manager</w:t>
      </w:r>
    </w:p>
    <w:p w:rsidR="00FC0126" w:rsidRPr="00306856" w:rsidRDefault="00FC0126" w:rsidP="00FC0126">
      <w:pPr>
        <w:pStyle w:val="ListParagraph"/>
        <w:numPr>
          <w:ilvl w:val="0"/>
          <w:numId w:val="7"/>
        </w:numPr>
      </w:pPr>
      <w:r w:rsidRPr="00306856">
        <w:t>Seek interest from a Co-Chair</w:t>
      </w:r>
    </w:p>
    <w:p w:rsidR="00FC0126" w:rsidRPr="00306856" w:rsidRDefault="00FC0126" w:rsidP="00FC0126">
      <w:pPr>
        <w:pStyle w:val="ListParagraph"/>
        <w:numPr>
          <w:ilvl w:val="0"/>
          <w:numId w:val="7"/>
        </w:numPr>
      </w:pPr>
      <w:r w:rsidRPr="00306856">
        <w:lastRenderedPageBreak/>
        <w:t>Contact the EBRG Leader</w:t>
      </w:r>
    </w:p>
    <w:p w:rsidR="00FC0126" w:rsidRPr="00306856" w:rsidRDefault="00FC0126" w:rsidP="00FC0126">
      <w:pPr>
        <w:pStyle w:val="ListParagraph"/>
        <w:numPr>
          <w:ilvl w:val="0"/>
          <w:numId w:val="7"/>
        </w:numPr>
      </w:pPr>
      <w:r w:rsidRPr="00306856">
        <w:t>Comprehensive market assessment to increase the success of the launch</w:t>
      </w:r>
    </w:p>
    <w:p w:rsidR="00FC0126" w:rsidRPr="00306856" w:rsidRDefault="00FC0126" w:rsidP="00FC0126">
      <w:pPr>
        <w:pStyle w:val="ListParagraph"/>
        <w:numPr>
          <w:ilvl w:val="0"/>
          <w:numId w:val="7"/>
        </w:numPr>
      </w:pPr>
      <w:r w:rsidRPr="00306856">
        <w:t>Complete and submit the Employee Resource Group Expansion Form and return to EBRG Leader</w:t>
      </w:r>
    </w:p>
    <w:p w:rsidR="00FC0126" w:rsidRPr="00306856" w:rsidRDefault="00FC0126" w:rsidP="00FC0126">
      <w:pPr>
        <w:pStyle w:val="ListParagraph"/>
        <w:numPr>
          <w:ilvl w:val="0"/>
          <w:numId w:val="7"/>
        </w:numPr>
      </w:pPr>
      <w:r w:rsidRPr="00306856">
        <w:t xml:space="preserve">Once the ERG form is submitted and the confirmation of the EBRG Leader is in place.  Your chapter and your contact information will be loaded online and your membership drive may begin. </w:t>
      </w:r>
    </w:p>
    <w:p w:rsidR="00FC0126" w:rsidRDefault="00FC0126" w:rsidP="00FC0126">
      <w:pPr>
        <w:ind w:left="360"/>
        <w:rPr>
          <w:rFonts w:asciiTheme="minorHAnsi" w:hAnsiTheme="minorHAnsi"/>
          <w:b/>
        </w:rPr>
      </w:pPr>
    </w:p>
    <w:p w:rsidR="00FC0126" w:rsidRPr="0069640A" w:rsidRDefault="00FC0126" w:rsidP="00FC0126">
      <w:pPr>
        <w:ind w:left="360"/>
        <w:rPr>
          <w:rFonts w:asciiTheme="minorHAnsi" w:hAnsiTheme="minorHAnsi"/>
          <w:b/>
        </w:rPr>
      </w:pPr>
      <w:r w:rsidRPr="0069640A">
        <w:rPr>
          <w:rFonts w:asciiTheme="minorHAnsi" w:hAnsiTheme="minorHAnsi"/>
          <w:b/>
        </w:rPr>
        <w:t>Roles of an EBRG Chapter Lead</w:t>
      </w:r>
    </w:p>
    <w:p w:rsidR="00FC0126" w:rsidRPr="00306856" w:rsidRDefault="00FC0126" w:rsidP="00FC0126">
      <w:pPr>
        <w:numPr>
          <w:ilvl w:val="0"/>
          <w:numId w:val="9"/>
        </w:numPr>
        <w:rPr>
          <w:rFonts w:asciiTheme="minorHAnsi" w:hAnsiTheme="minorHAnsi"/>
        </w:rPr>
      </w:pPr>
      <w:r w:rsidRPr="00306856">
        <w:rPr>
          <w:rFonts w:asciiTheme="minorHAnsi" w:hAnsiTheme="minorHAnsi"/>
        </w:rPr>
        <w:t xml:space="preserve">Accountable to the EBRG Global Leader </w:t>
      </w:r>
    </w:p>
    <w:p w:rsidR="00FC0126" w:rsidRPr="00306856" w:rsidRDefault="00FC0126" w:rsidP="00FC0126">
      <w:pPr>
        <w:numPr>
          <w:ilvl w:val="0"/>
          <w:numId w:val="9"/>
        </w:numPr>
        <w:rPr>
          <w:rFonts w:asciiTheme="minorHAnsi" w:hAnsiTheme="minorHAnsi"/>
        </w:rPr>
      </w:pPr>
      <w:r w:rsidRPr="00306856">
        <w:rPr>
          <w:rFonts w:asciiTheme="minorHAnsi" w:hAnsiTheme="minorHAnsi"/>
        </w:rPr>
        <w:t>Meets as a member of the Global EBRG Chapter Community.</w:t>
      </w:r>
    </w:p>
    <w:p w:rsidR="00FC0126" w:rsidRPr="00306856" w:rsidRDefault="00FC0126" w:rsidP="00FC0126">
      <w:pPr>
        <w:numPr>
          <w:ilvl w:val="1"/>
          <w:numId w:val="9"/>
        </w:numPr>
        <w:rPr>
          <w:rFonts w:asciiTheme="minorHAnsi" w:hAnsiTheme="minorHAnsi"/>
        </w:rPr>
      </w:pPr>
      <w:r w:rsidRPr="00306856">
        <w:rPr>
          <w:rFonts w:asciiTheme="minorHAnsi" w:hAnsiTheme="minorHAnsi"/>
        </w:rPr>
        <w:t>Support and Leads local Chapter in support of EBRG Priorities (in alignment with GD&amp;I COE)</w:t>
      </w:r>
    </w:p>
    <w:p w:rsidR="00FC0126" w:rsidRPr="00306856" w:rsidRDefault="00FC0126" w:rsidP="00FC0126">
      <w:pPr>
        <w:numPr>
          <w:ilvl w:val="1"/>
          <w:numId w:val="9"/>
        </w:numPr>
        <w:rPr>
          <w:rFonts w:asciiTheme="minorHAnsi" w:hAnsiTheme="minorHAnsi"/>
        </w:rPr>
      </w:pPr>
      <w:r w:rsidRPr="00306856">
        <w:rPr>
          <w:rFonts w:asciiTheme="minorHAnsi" w:hAnsiTheme="minorHAnsi"/>
        </w:rPr>
        <w:t>Business Integration/Insights</w:t>
      </w:r>
    </w:p>
    <w:p w:rsidR="00FC0126" w:rsidRPr="00306856" w:rsidRDefault="00FC0126" w:rsidP="00FC0126">
      <w:pPr>
        <w:numPr>
          <w:ilvl w:val="1"/>
          <w:numId w:val="9"/>
        </w:numPr>
        <w:rPr>
          <w:rFonts w:asciiTheme="minorHAnsi" w:hAnsiTheme="minorHAnsi"/>
        </w:rPr>
      </w:pPr>
      <w:r w:rsidRPr="00306856">
        <w:rPr>
          <w:rFonts w:asciiTheme="minorHAnsi" w:hAnsiTheme="minorHAnsi"/>
        </w:rPr>
        <w:t>Talent Management</w:t>
      </w:r>
    </w:p>
    <w:p w:rsidR="00FC0126" w:rsidRPr="00306856" w:rsidRDefault="00FC0126" w:rsidP="00FC0126">
      <w:pPr>
        <w:numPr>
          <w:ilvl w:val="0"/>
          <w:numId w:val="9"/>
        </w:numPr>
        <w:rPr>
          <w:rFonts w:asciiTheme="minorHAnsi" w:hAnsiTheme="minorHAnsi"/>
        </w:rPr>
      </w:pPr>
      <w:r w:rsidRPr="00306856">
        <w:rPr>
          <w:rFonts w:asciiTheme="minorHAnsi" w:hAnsiTheme="minorHAnsi"/>
        </w:rPr>
        <w:t>Attend, support and represent EBRG at local functions held by other EBRG chapters on-site to ensure positive interaction and share best practices.</w:t>
      </w:r>
    </w:p>
    <w:p w:rsidR="00FC0126" w:rsidRPr="00306856" w:rsidRDefault="00FC0126" w:rsidP="00FC0126">
      <w:pPr>
        <w:numPr>
          <w:ilvl w:val="0"/>
          <w:numId w:val="9"/>
        </w:numPr>
        <w:rPr>
          <w:rFonts w:asciiTheme="minorHAnsi" w:hAnsiTheme="minorHAnsi"/>
        </w:rPr>
      </w:pPr>
      <w:r w:rsidRPr="00306856">
        <w:rPr>
          <w:rFonts w:asciiTheme="minorHAnsi" w:hAnsiTheme="minorHAnsi"/>
        </w:rPr>
        <w:t>Coordinate business-related efforts and source volunteers for  Initiatives and site/regional-specific events/initiatives</w:t>
      </w:r>
    </w:p>
    <w:p w:rsidR="00FC0126" w:rsidRPr="00306856" w:rsidRDefault="00FC0126" w:rsidP="00FC0126">
      <w:pPr>
        <w:numPr>
          <w:ilvl w:val="0"/>
          <w:numId w:val="9"/>
        </w:numPr>
        <w:rPr>
          <w:rFonts w:asciiTheme="minorHAnsi" w:hAnsiTheme="minorHAnsi"/>
        </w:rPr>
      </w:pPr>
      <w:r w:rsidRPr="00306856">
        <w:rPr>
          <w:rFonts w:asciiTheme="minorHAnsi" w:hAnsiTheme="minorHAnsi"/>
        </w:rPr>
        <w:t>Prepare, Coordinate, Oversee and Administer:</w:t>
      </w:r>
    </w:p>
    <w:p w:rsidR="00FC0126" w:rsidRPr="00306856" w:rsidRDefault="00FC0126" w:rsidP="00FC0126">
      <w:pPr>
        <w:numPr>
          <w:ilvl w:val="1"/>
          <w:numId w:val="10"/>
        </w:numPr>
        <w:rPr>
          <w:rFonts w:asciiTheme="minorHAnsi" w:hAnsiTheme="minorHAnsi"/>
        </w:rPr>
      </w:pPr>
      <w:r w:rsidRPr="00306856">
        <w:rPr>
          <w:rFonts w:asciiTheme="minorHAnsi" w:hAnsiTheme="minorHAnsi"/>
        </w:rPr>
        <w:t>Local Communication Plans (site/region) any other communications to be coordinated with Communications  Lead Volunteer</w:t>
      </w:r>
    </w:p>
    <w:p w:rsidR="00FC0126" w:rsidRPr="00306856" w:rsidRDefault="00FC0126" w:rsidP="00FC0126">
      <w:pPr>
        <w:numPr>
          <w:ilvl w:val="2"/>
          <w:numId w:val="10"/>
        </w:numPr>
        <w:rPr>
          <w:rFonts w:asciiTheme="minorHAnsi" w:hAnsiTheme="minorHAnsi"/>
        </w:rPr>
      </w:pPr>
      <w:r w:rsidRPr="00306856">
        <w:rPr>
          <w:rFonts w:asciiTheme="minorHAnsi" w:hAnsiTheme="minorHAnsi"/>
        </w:rPr>
        <w:t>Includes posting all events on the EBRG Sync Community Calendar.</w:t>
      </w:r>
    </w:p>
    <w:p w:rsidR="00FC0126" w:rsidRPr="00306856" w:rsidRDefault="00FC0126" w:rsidP="00FC0126">
      <w:pPr>
        <w:numPr>
          <w:ilvl w:val="2"/>
          <w:numId w:val="10"/>
        </w:numPr>
        <w:rPr>
          <w:rFonts w:asciiTheme="minorHAnsi" w:hAnsiTheme="minorHAnsi"/>
        </w:rPr>
      </w:pPr>
      <w:r w:rsidRPr="00306856">
        <w:rPr>
          <w:rFonts w:asciiTheme="minorHAnsi" w:hAnsiTheme="minorHAnsi"/>
        </w:rPr>
        <w:t>Posting twice a month in the EBRG Community in Sync.(if one exists)</w:t>
      </w:r>
    </w:p>
    <w:p w:rsidR="00FC0126" w:rsidRPr="00306856" w:rsidRDefault="00FC0126" w:rsidP="00FC0126">
      <w:pPr>
        <w:numPr>
          <w:ilvl w:val="1"/>
          <w:numId w:val="10"/>
        </w:numPr>
        <w:rPr>
          <w:rFonts w:asciiTheme="minorHAnsi" w:hAnsiTheme="minorHAnsi"/>
        </w:rPr>
      </w:pPr>
      <w:r w:rsidRPr="00306856">
        <w:rPr>
          <w:rFonts w:asciiTheme="minorHAnsi" w:hAnsiTheme="minorHAnsi"/>
        </w:rPr>
        <w:t>Local Events/Initiatives</w:t>
      </w:r>
    </w:p>
    <w:p w:rsidR="00FC0126" w:rsidRPr="00306856" w:rsidRDefault="00FC0126" w:rsidP="00FC0126">
      <w:pPr>
        <w:numPr>
          <w:ilvl w:val="1"/>
          <w:numId w:val="10"/>
        </w:numPr>
        <w:rPr>
          <w:rFonts w:asciiTheme="minorHAnsi" w:hAnsiTheme="minorHAnsi"/>
        </w:rPr>
      </w:pPr>
      <w:r w:rsidRPr="00306856">
        <w:rPr>
          <w:rFonts w:asciiTheme="minorHAnsi" w:hAnsiTheme="minorHAnsi"/>
        </w:rPr>
        <w:t xml:space="preserve">Membership Drives </w:t>
      </w:r>
    </w:p>
    <w:p w:rsidR="00FC0126" w:rsidRPr="00306856" w:rsidRDefault="00FC0126" w:rsidP="00FC0126">
      <w:pPr>
        <w:numPr>
          <w:ilvl w:val="1"/>
          <w:numId w:val="10"/>
        </w:numPr>
        <w:rPr>
          <w:rFonts w:asciiTheme="minorHAnsi" w:hAnsiTheme="minorHAnsi"/>
        </w:rPr>
      </w:pPr>
      <w:r w:rsidRPr="00306856">
        <w:rPr>
          <w:rFonts w:asciiTheme="minorHAnsi" w:hAnsiTheme="minorHAnsi"/>
        </w:rPr>
        <w:t>Site/Regional Volunteers</w:t>
      </w:r>
    </w:p>
    <w:p w:rsidR="00FC0126" w:rsidRPr="00306856" w:rsidRDefault="00FC0126" w:rsidP="00FC0126">
      <w:pPr>
        <w:numPr>
          <w:ilvl w:val="0"/>
          <w:numId w:val="10"/>
        </w:numPr>
        <w:rPr>
          <w:rFonts w:asciiTheme="minorHAnsi" w:hAnsiTheme="minorHAnsi"/>
        </w:rPr>
      </w:pPr>
      <w:r w:rsidRPr="00306856">
        <w:rPr>
          <w:rFonts w:asciiTheme="minorHAnsi" w:hAnsiTheme="minorHAnsi"/>
        </w:rPr>
        <w:t>Three local events per year. required  (i.e. membership drive, virtual call, community event, greet/meet)</w:t>
      </w:r>
    </w:p>
    <w:p w:rsidR="00FC0126" w:rsidRPr="0069640A" w:rsidRDefault="00FC0126" w:rsidP="00FC0126">
      <w:pPr>
        <w:spacing w:after="200" w:line="276" w:lineRule="auto"/>
        <w:ind w:left="1080"/>
        <w:rPr>
          <w:rFonts w:asciiTheme="minorHAnsi" w:hAnsiTheme="minorHAnsi"/>
        </w:rPr>
      </w:pPr>
      <w:r w:rsidRPr="0069640A">
        <w:rPr>
          <w:rFonts w:asciiTheme="minorHAnsi" w:hAnsiTheme="minorHAnsi"/>
        </w:rPr>
        <w:br w:type="page"/>
      </w:r>
    </w:p>
    <w:p w:rsidR="00FC0126" w:rsidRPr="00306856" w:rsidRDefault="00FC0126" w:rsidP="00FC0126">
      <w:pPr>
        <w:ind w:left="360"/>
        <w:jc w:val="center"/>
        <w:rPr>
          <w:rFonts w:asciiTheme="minorHAnsi" w:hAnsiTheme="minorHAnsi"/>
          <w:b/>
        </w:rPr>
      </w:pPr>
      <w:r w:rsidRPr="00306856">
        <w:rPr>
          <w:rFonts w:asciiTheme="minorHAnsi" w:hAnsiTheme="minorHAnsi"/>
          <w:b/>
        </w:rPr>
        <w:lastRenderedPageBreak/>
        <w:t>Key Competencies an EBRG Leader</w:t>
      </w:r>
    </w:p>
    <w:p w:rsidR="00FC0126" w:rsidRPr="00306856" w:rsidRDefault="00FC0126" w:rsidP="00FC0126">
      <w:pPr>
        <w:rPr>
          <w:rFonts w:asciiTheme="minorHAnsi" w:hAnsiTheme="minorHAnsi"/>
        </w:rPr>
      </w:pPr>
    </w:p>
    <w:p w:rsidR="00FC0126" w:rsidRPr="00306856" w:rsidRDefault="00FC0126" w:rsidP="00FC0126">
      <w:pPr>
        <w:rPr>
          <w:rFonts w:asciiTheme="minorHAnsi" w:hAnsiTheme="minorHAnsi"/>
        </w:rPr>
      </w:pPr>
    </w:p>
    <w:p w:rsidR="00FC0126" w:rsidRPr="00306856" w:rsidRDefault="00FC0126" w:rsidP="00FC0126">
      <w:pPr>
        <w:jc w:val="center"/>
        <w:rPr>
          <w:rFonts w:asciiTheme="minorHAnsi" w:hAnsiTheme="minorHAnsi"/>
        </w:rPr>
      </w:pPr>
      <w:r w:rsidRPr="00306856">
        <w:rPr>
          <w:rFonts w:asciiTheme="minorHAnsi" w:hAnsiTheme="minorHAnsi"/>
          <w:noProof/>
        </w:rPr>
        <w:drawing>
          <wp:inline distT="0" distB="0" distL="0" distR="0" wp14:anchorId="00772EA5" wp14:editId="77452C1B">
            <wp:extent cx="6156960" cy="37683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7685" cy="3768772"/>
                    </a:xfrm>
                    <a:prstGeom prst="rect">
                      <a:avLst/>
                    </a:prstGeom>
                    <a:noFill/>
                  </pic:spPr>
                </pic:pic>
              </a:graphicData>
            </a:graphic>
          </wp:inline>
        </w:drawing>
      </w:r>
    </w:p>
    <w:p w:rsidR="00FC0126" w:rsidRPr="00306856" w:rsidRDefault="00FC0126" w:rsidP="00FC0126">
      <w:pPr>
        <w:jc w:val="center"/>
        <w:rPr>
          <w:rFonts w:asciiTheme="minorHAnsi" w:hAnsiTheme="minorHAnsi"/>
        </w:rPr>
      </w:pPr>
    </w:p>
    <w:p w:rsidR="00FC0126" w:rsidRPr="00306856" w:rsidRDefault="00FC0126" w:rsidP="00FC0126">
      <w:pPr>
        <w:jc w:val="center"/>
        <w:rPr>
          <w:rFonts w:asciiTheme="minorHAnsi" w:hAnsiTheme="minorHAnsi"/>
        </w:rPr>
      </w:pPr>
    </w:p>
    <w:p w:rsidR="00FC0126" w:rsidRPr="00306856" w:rsidRDefault="00FC0126" w:rsidP="00FC0126">
      <w:pPr>
        <w:rPr>
          <w:rFonts w:asciiTheme="minorHAnsi" w:hAnsiTheme="minorHAnsi"/>
        </w:rPr>
      </w:pPr>
    </w:p>
    <w:p w:rsidR="00FC0126" w:rsidRPr="00306856" w:rsidRDefault="00FC0126" w:rsidP="00FC0126">
      <w:pPr>
        <w:rPr>
          <w:rFonts w:asciiTheme="minorHAnsi" w:hAnsiTheme="minorHAnsi"/>
        </w:rPr>
      </w:pPr>
    </w:p>
    <w:p w:rsidR="00FC0126" w:rsidRPr="0069640A" w:rsidRDefault="00FC0126" w:rsidP="00FC0126">
      <w:pPr>
        <w:rPr>
          <w:rFonts w:asciiTheme="minorHAnsi" w:hAnsiTheme="minorHAnsi"/>
          <w:b/>
        </w:rPr>
      </w:pPr>
      <w:r w:rsidRPr="0069640A">
        <w:rPr>
          <w:rFonts w:asciiTheme="minorHAnsi" w:hAnsiTheme="minorHAnsi"/>
          <w:b/>
        </w:rPr>
        <w:t>Other external resources:</w:t>
      </w:r>
    </w:p>
    <w:p w:rsidR="00FC0126" w:rsidRPr="00306856" w:rsidRDefault="00FC0126" w:rsidP="00FC0126">
      <w:pPr>
        <w:rPr>
          <w:rFonts w:asciiTheme="minorHAnsi" w:hAnsiTheme="minorHAnsi"/>
        </w:rPr>
      </w:pPr>
    </w:p>
    <w:p w:rsidR="00FC0126" w:rsidRPr="00306856" w:rsidRDefault="00017D34" w:rsidP="00FC0126">
      <w:pPr>
        <w:rPr>
          <w:rFonts w:asciiTheme="minorHAnsi" w:hAnsiTheme="minorHAnsi"/>
        </w:rPr>
      </w:pPr>
      <w:hyperlink r:id="rId10" w:history="1">
        <w:r w:rsidR="00FC0126" w:rsidRPr="00306856">
          <w:rPr>
            <w:rStyle w:val="Hyperlink"/>
            <w:rFonts w:asciiTheme="minorHAnsi" w:hAnsiTheme="minorHAnsi"/>
          </w:rPr>
          <w:t>https://www.hrc.org/resources/establishing-an-employee-resource-group</w:t>
        </w:r>
      </w:hyperlink>
    </w:p>
    <w:p w:rsidR="00FC0126" w:rsidRPr="00306856" w:rsidRDefault="00FC0126" w:rsidP="00FC0126">
      <w:pPr>
        <w:rPr>
          <w:rFonts w:asciiTheme="minorHAnsi" w:hAnsiTheme="minorHAnsi"/>
        </w:rPr>
      </w:pPr>
    </w:p>
    <w:p w:rsidR="00FC0126" w:rsidRPr="00306856" w:rsidRDefault="00017D34" w:rsidP="00FC0126">
      <w:pPr>
        <w:rPr>
          <w:rFonts w:asciiTheme="minorHAnsi" w:hAnsiTheme="minorHAnsi"/>
        </w:rPr>
      </w:pPr>
      <w:hyperlink r:id="rId11" w:history="1">
        <w:r w:rsidR="00FC0126" w:rsidRPr="00306856">
          <w:rPr>
            <w:rStyle w:val="Hyperlink"/>
            <w:rFonts w:asciiTheme="minorHAnsi" w:hAnsiTheme="minorHAnsi"/>
          </w:rPr>
          <w:t>https://www.energy.gov/diversity/downloads/application-guidelines-chartering-employee-resource-group</w:t>
        </w:r>
      </w:hyperlink>
    </w:p>
    <w:p w:rsidR="00FC0126" w:rsidRPr="00306856" w:rsidRDefault="00FC0126" w:rsidP="00FC0126">
      <w:pPr>
        <w:rPr>
          <w:rFonts w:asciiTheme="minorHAnsi" w:hAnsiTheme="minorHAnsi"/>
        </w:rPr>
      </w:pPr>
    </w:p>
    <w:p w:rsidR="00FC0126" w:rsidRPr="00306856" w:rsidRDefault="00017D34" w:rsidP="00FC0126">
      <w:pPr>
        <w:rPr>
          <w:rFonts w:asciiTheme="minorHAnsi" w:hAnsiTheme="minorHAnsi"/>
          <w:b/>
        </w:rPr>
      </w:pPr>
      <w:hyperlink r:id="rId12" w:history="1">
        <w:r w:rsidR="00FC0126" w:rsidRPr="00306856">
          <w:rPr>
            <w:rStyle w:val="Hyperlink"/>
            <w:rFonts w:asciiTheme="minorHAnsi" w:hAnsiTheme="minorHAnsi"/>
            <w:b/>
          </w:rPr>
          <w:t>https://www.cisco.com/c/dam/en_us/about/ac49/ac55/docs/RESOURCE_GUIDE_external11_2010.pdf</w:t>
        </w:r>
      </w:hyperlink>
    </w:p>
    <w:p w:rsidR="00974951" w:rsidRDefault="00974951"/>
    <w:sectPr w:rsidR="00974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34" w:rsidRDefault="00017D34" w:rsidP="00FC0126">
      <w:r>
        <w:separator/>
      </w:r>
    </w:p>
  </w:endnote>
  <w:endnote w:type="continuationSeparator" w:id="0">
    <w:p w:rsidR="00017D34" w:rsidRDefault="00017D34" w:rsidP="00FC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34" w:rsidRDefault="00017D34" w:rsidP="00FC0126">
      <w:r>
        <w:separator/>
      </w:r>
    </w:p>
  </w:footnote>
  <w:footnote w:type="continuationSeparator" w:id="0">
    <w:p w:rsidR="00017D34" w:rsidRDefault="00017D34" w:rsidP="00FC0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739"/>
    <w:multiLevelType w:val="hybridMultilevel"/>
    <w:tmpl w:val="14F8B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F86ED5"/>
    <w:multiLevelType w:val="multilevel"/>
    <w:tmpl w:val="4B08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9323D0"/>
    <w:multiLevelType w:val="hybridMultilevel"/>
    <w:tmpl w:val="454E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A1334"/>
    <w:multiLevelType w:val="multilevel"/>
    <w:tmpl w:val="ACB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00049"/>
    <w:multiLevelType w:val="hybridMultilevel"/>
    <w:tmpl w:val="3246F0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C0744E"/>
    <w:multiLevelType w:val="multilevel"/>
    <w:tmpl w:val="3F0C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A1BED"/>
    <w:multiLevelType w:val="hybridMultilevel"/>
    <w:tmpl w:val="17F220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766248"/>
    <w:multiLevelType w:val="hybridMultilevel"/>
    <w:tmpl w:val="5B148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1C44DA7"/>
    <w:multiLevelType w:val="hybridMultilevel"/>
    <w:tmpl w:val="73FAC5E6"/>
    <w:lvl w:ilvl="0" w:tplc="04090001">
      <w:start w:val="1"/>
      <w:numFmt w:val="bullet"/>
      <w:lvlText w:val=""/>
      <w:lvlJc w:val="left"/>
      <w:pPr>
        <w:tabs>
          <w:tab w:val="num" w:pos="720"/>
        </w:tabs>
        <w:ind w:left="720" w:hanging="360"/>
      </w:pPr>
      <w:rPr>
        <w:rFonts w:ascii="Symbol" w:hAnsi="Symbol" w:hint="default"/>
      </w:rPr>
    </w:lvl>
    <w:lvl w:ilvl="1" w:tplc="6B1CB008" w:tentative="1">
      <w:start w:val="1"/>
      <w:numFmt w:val="bullet"/>
      <w:lvlText w:val="-"/>
      <w:lvlJc w:val="left"/>
      <w:pPr>
        <w:tabs>
          <w:tab w:val="num" w:pos="1440"/>
        </w:tabs>
        <w:ind w:left="1440" w:hanging="360"/>
      </w:pPr>
      <w:rPr>
        <w:rFonts w:ascii="Times New Roman" w:hAnsi="Times New Roman" w:hint="default"/>
      </w:rPr>
    </w:lvl>
    <w:lvl w:ilvl="2" w:tplc="DA0CAE58" w:tentative="1">
      <w:start w:val="1"/>
      <w:numFmt w:val="bullet"/>
      <w:lvlText w:val="-"/>
      <w:lvlJc w:val="left"/>
      <w:pPr>
        <w:tabs>
          <w:tab w:val="num" w:pos="2160"/>
        </w:tabs>
        <w:ind w:left="2160" w:hanging="360"/>
      </w:pPr>
      <w:rPr>
        <w:rFonts w:ascii="Times New Roman" w:hAnsi="Times New Roman" w:hint="default"/>
      </w:rPr>
    </w:lvl>
    <w:lvl w:ilvl="3" w:tplc="E75AF74A" w:tentative="1">
      <w:start w:val="1"/>
      <w:numFmt w:val="bullet"/>
      <w:lvlText w:val="-"/>
      <w:lvlJc w:val="left"/>
      <w:pPr>
        <w:tabs>
          <w:tab w:val="num" w:pos="2880"/>
        </w:tabs>
        <w:ind w:left="2880" w:hanging="360"/>
      </w:pPr>
      <w:rPr>
        <w:rFonts w:ascii="Times New Roman" w:hAnsi="Times New Roman" w:hint="default"/>
      </w:rPr>
    </w:lvl>
    <w:lvl w:ilvl="4" w:tplc="9A6A3DD0" w:tentative="1">
      <w:start w:val="1"/>
      <w:numFmt w:val="bullet"/>
      <w:lvlText w:val="-"/>
      <w:lvlJc w:val="left"/>
      <w:pPr>
        <w:tabs>
          <w:tab w:val="num" w:pos="3600"/>
        </w:tabs>
        <w:ind w:left="3600" w:hanging="360"/>
      </w:pPr>
      <w:rPr>
        <w:rFonts w:ascii="Times New Roman" w:hAnsi="Times New Roman" w:hint="default"/>
      </w:rPr>
    </w:lvl>
    <w:lvl w:ilvl="5" w:tplc="CE40FD08" w:tentative="1">
      <w:start w:val="1"/>
      <w:numFmt w:val="bullet"/>
      <w:lvlText w:val="-"/>
      <w:lvlJc w:val="left"/>
      <w:pPr>
        <w:tabs>
          <w:tab w:val="num" w:pos="4320"/>
        </w:tabs>
        <w:ind w:left="4320" w:hanging="360"/>
      </w:pPr>
      <w:rPr>
        <w:rFonts w:ascii="Times New Roman" w:hAnsi="Times New Roman" w:hint="default"/>
      </w:rPr>
    </w:lvl>
    <w:lvl w:ilvl="6" w:tplc="E29AE360" w:tentative="1">
      <w:start w:val="1"/>
      <w:numFmt w:val="bullet"/>
      <w:lvlText w:val="-"/>
      <w:lvlJc w:val="left"/>
      <w:pPr>
        <w:tabs>
          <w:tab w:val="num" w:pos="5040"/>
        </w:tabs>
        <w:ind w:left="5040" w:hanging="360"/>
      </w:pPr>
      <w:rPr>
        <w:rFonts w:ascii="Times New Roman" w:hAnsi="Times New Roman" w:hint="default"/>
      </w:rPr>
    </w:lvl>
    <w:lvl w:ilvl="7" w:tplc="8EB8BE18" w:tentative="1">
      <w:start w:val="1"/>
      <w:numFmt w:val="bullet"/>
      <w:lvlText w:val="-"/>
      <w:lvlJc w:val="left"/>
      <w:pPr>
        <w:tabs>
          <w:tab w:val="num" w:pos="5760"/>
        </w:tabs>
        <w:ind w:left="5760" w:hanging="360"/>
      </w:pPr>
      <w:rPr>
        <w:rFonts w:ascii="Times New Roman" w:hAnsi="Times New Roman" w:hint="default"/>
      </w:rPr>
    </w:lvl>
    <w:lvl w:ilvl="8" w:tplc="19EAA2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750F4A"/>
    <w:multiLevelType w:val="multilevel"/>
    <w:tmpl w:val="6212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3"/>
  </w:num>
  <w:num w:numId="5">
    <w:abstractNumId w:val="2"/>
  </w:num>
  <w:num w:numId="6">
    <w:abstractNumId w:val="0"/>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26"/>
    <w:rsid w:val="00017D34"/>
    <w:rsid w:val="00113FDF"/>
    <w:rsid w:val="006065B9"/>
    <w:rsid w:val="00974951"/>
    <w:rsid w:val="00C0161A"/>
    <w:rsid w:val="00FC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126"/>
    <w:pPr>
      <w:tabs>
        <w:tab w:val="center" w:pos="4680"/>
        <w:tab w:val="right" w:pos="9360"/>
      </w:tabs>
    </w:pPr>
  </w:style>
  <w:style w:type="character" w:customStyle="1" w:styleId="HeaderChar">
    <w:name w:val="Header Char"/>
    <w:basedOn w:val="DefaultParagraphFont"/>
    <w:link w:val="Header"/>
    <w:uiPriority w:val="99"/>
    <w:rsid w:val="00FC0126"/>
  </w:style>
  <w:style w:type="paragraph" w:styleId="Footer">
    <w:name w:val="footer"/>
    <w:basedOn w:val="Normal"/>
    <w:link w:val="FooterChar"/>
    <w:uiPriority w:val="99"/>
    <w:unhideWhenUsed/>
    <w:rsid w:val="00FC0126"/>
    <w:pPr>
      <w:tabs>
        <w:tab w:val="center" w:pos="4680"/>
        <w:tab w:val="right" w:pos="9360"/>
      </w:tabs>
    </w:pPr>
  </w:style>
  <w:style w:type="character" w:customStyle="1" w:styleId="FooterChar">
    <w:name w:val="Footer Char"/>
    <w:basedOn w:val="DefaultParagraphFont"/>
    <w:link w:val="Footer"/>
    <w:uiPriority w:val="99"/>
    <w:rsid w:val="00FC0126"/>
  </w:style>
  <w:style w:type="character" w:styleId="Hyperlink">
    <w:name w:val="Hyperlink"/>
    <w:basedOn w:val="DefaultParagraphFont"/>
    <w:uiPriority w:val="99"/>
    <w:unhideWhenUsed/>
    <w:rsid w:val="00FC0126"/>
    <w:rPr>
      <w:color w:val="0000FF"/>
      <w:u w:val="single"/>
    </w:rPr>
  </w:style>
  <w:style w:type="paragraph" w:styleId="ListParagraph">
    <w:name w:val="List Paragraph"/>
    <w:basedOn w:val="Normal"/>
    <w:uiPriority w:val="34"/>
    <w:qFormat/>
    <w:rsid w:val="00FC0126"/>
    <w:pPr>
      <w:ind w:left="720"/>
      <w:contextualSpacing/>
    </w:pPr>
  </w:style>
  <w:style w:type="paragraph" w:styleId="NoSpacing">
    <w:name w:val="No Spacing"/>
    <w:uiPriority w:val="1"/>
    <w:qFormat/>
    <w:rsid w:val="00FC012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FC0126"/>
    <w:rPr>
      <w:rFonts w:ascii="Tahoma" w:hAnsi="Tahoma" w:cs="Tahoma"/>
      <w:sz w:val="16"/>
      <w:szCs w:val="16"/>
    </w:rPr>
  </w:style>
  <w:style w:type="character" w:customStyle="1" w:styleId="BalloonTextChar">
    <w:name w:val="Balloon Text Char"/>
    <w:basedOn w:val="DefaultParagraphFont"/>
    <w:link w:val="BalloonText"/>
    <w:uiPriority w:val="99"/>
    <w:semiHidden/>
    <w:rsid w:val="00FC0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126"/>
    <w:pPr>
      <w:tabs>
        <w:tab w:val="center" w:pos="4680"/>
        <w:tab w:val="right" w:pos="9360"/>
      </w:tabs>
    </w:pPr>
  </w:style>
  <w:style w:type="character" w:customStyle="1" w:styleId="HeaderChar">
    <w:name w:val="Header Char"/>
    <w:basedOn w:val="DefaultParagraphFont"/>
    <w:link w:val="Header"/>
    <w:uiPriority w:val="99"/>
    <w:rsid w:val="00FC0126"/>
  </w:style>
  <w:style w:type="paragraph" w:styleId="Footer">
    <w:name w:val="footer"/>
    <w:basedOn w:val="Normal"/>
    <w:link w:val="FooterChar"/>
    <w:uiPriority w:val="99"/>
    <w:unhideWhenUsed/>
    <w:rsid w:val="00FC0126"/>
    <w:pPr>
      <w:tabs>
        <w:tab w:val="center" w:pos="4680"/>
        <w:tab w:val="right" w:pos="9360"/>
      </w:tabs>
    </w:pPr>
  </w:style>
  <w:style w:type="character" w:customStyle="1" w:styleId="FooterChar">
    <w:name w:val="Footer Char"/>
    <w:basedOn w:val="DefaultParagraphFont"/>
    <w:link w:val="Footer"/>
    <w:uiPriority w:val="99"/>
    <w:rsid w:val="00FC0126"/>
  </w:style>
  <w:style w:type="character" w:styleId="Hyperlink">
    <w:name w:val="Hyperlink"/>
    <w:basedOn w:val="DefaultParagraphFont"/>
    <w:uiPriority w:val="99"/>
    <w:unhideWhenUsed/>
    <w:rsid w:val="00FC0126"/>
    <w:rPr>
      <w:color w:val="0000FF"/>
      <w:u w:val="single"/>
    </w:rPr>
  </w:style>
  <w:style w:type="paragraph" w:styleId="ListParagraph">
    <w:name w:val="List Paragraph"/>
    <w:basedOn w:val="Normal"/>
    <w:uiPriority w:val="34"/>
    <w:qFormat/>
    <w:rsid w:val="00FC0126"/>
    <w:pPr>
      <w:ind w:left="720"/>
      <w:contextualSpacing/>
    </w:pPr>
  </w:style>
  <w:style w:type="paragraph" w:styleId="NoSpacing">
    <w:name w:val="No Spacing"/>
    <w:uiPriority w:val="1"/>
    <w:qFormat/>
    <w:rsid w:val="00FC012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FC0126"/>
    <w:rPr>
      <w:rFonts w:ascii="Tahoma" w:hAnsi="Tahoma" w:cs="Tahoma"/>
      <w:sz w:val="16"/>
      <w:szCs w:val="16"/>
    </w:rPr>
  </w:style>
  <w:style w:type="character" w:customStyle="1" w:styleId="BalloonTextChar">
    <w:name w:val="Balloon Text Char"/>
    <w:basedOn w:val="DefaultParagraphFont"/>
    <w:link w:val="BalloonText"/>
    <w:uiPriority w:val="99"/>
    <w:semiHidden/>
    <w:rsid w:val="00FC0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sco.com/c/dam/en_us/about/ac49/ac55/docs/RESOURCE_GUIDE_external11_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ergy.gov/diversity/downloads/application-guidelines-chartering-employee-resource-group" TargetMode="External"/><Relationship Id="rId5" Type="http://schemas.openxmlformats.org/officeDocument/2006/relationships/settings" Target="settings.xml"/><Relationship Id="rId10" Type="http://schemas.openxmlformats.org/officeDocument/2006/relationships/hyperlink" Target="https://www.hrc.org/resources/establishing-an-employee-resource-grou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B03DD2AE-F29A-4DDF-8846-D8E645FE8E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Merck &amp; Co., Inc.</cp:lastModifiedBy>
  <cp:revision>2</cp:revision>
  <dcterms:created xsi:type="dcterms:W3CDTF">2018-10-18T11:49:00Z</dcterms:created>
  <dcterms:modified xsi:type="dcterms:W3CDTF">2018-10-18T11:49:00Z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44b7d054-efb7-4d1c-a4c0-579dce3a00fb</vt:lpwstr>
  </property>
  <property fmtid="{D5CDD505-2E9C-101B-9397-08002B2CF9AE}" pid="3" name="bjSaver">
    <vt:lpwstr>aRnhWdBE7G+JpIsGLPd/GJyyDPVQ51FE</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-1530545263</vt:i4>
  </property>
  <property fmtid="{D5CDD505-2E9C-101B-9397-08002B2CF9AE}" pid="8" name="_NewReviewCycle">
    <vt:lpwstr/>
  </property>
  <property fmtid="{D5CDD505-2E9C-101B-9397-08002B2CF9AE}" pid="9" name="_EmailSubject">
    <vt:lpwstr>BIO HR Tool Kit Subgroup Conference Call - Friday, 10/12 </vt:lpwstr>
  </property>
  <property fmtid="{D5CDD505-2E9C-101B-9397-08002B2CF9AE}" pid="10" name="_AuthorEmail">
    <vt:lpwstr>celeste_warren@merck.com</vt:lpwstr>
  </property>
  <property fmtid="{D5CDD505-2E9C-101B-9397-08002B2CF9AE}" pid="11" name="_AuthorEmailDisplayName">
    <vt:lpwstr>Warren, Celeste R.</vt:lpwstr>
  </property>
</Properties>
</file>